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6E1445">
        <w:trPr>
          <w:cantSplit/>
        </w:trPr>
        <w:tc>
          <w:tcPr>
            <w:tcW w:w="3600" w:type="dxa"/>
            <w:tcBorders>
              <w:bottom w:val="single" w:sz="8" w:space="0" w:color="D0CECE" w:themeColor="background2" w:themeShade="E6"/>
            </w:tcBorders>
            <w:tcMar>
              <w:top w:w="0" w:type="dxa"/>
              <w:left w:w="0" w:type="dxa"/>
              <w:right w:w="0" w:type="dxa"/>
            </w:tcMar>
          </w:tcPr>
          <w:p w14:paraId="44C13026" w14:textId="5AE49E72" w:rsidR="0034522A" w:rsidRPr="00FF7A7B" w:rsidRDefault="0087424F" w:rsidP="00FF7A7B">
            <w:pPr>
              <w:pStyle w:val="HeadH1-Volume"/>
              <w:framePr w:hSpace="0" w:wrap="auto" w:vAnchor="margin" w:yAlign="inline"/>
              <w:suppressOverlap w:val="0"/>
              <w:rPr>
                <w:rFonts w:eastAsia="Calibri"/>
                <w:noProof/>
                <w:color w:val="000000" w:themeColor="text1"/>
                <w:sz w:val="22"/>
              </w:rPr>
            </w:pPr>
            <w:r w:rsidRPr="00FF7A7B">
              <w:rPr>
                <w:rFonts w:eastAsia="Calibri"/>
                <w:noProof/>
                <w:color w:val="000000" w:themeColor="text1"/>
                <w:sz w:val="22"/>
              </w:rPr>
              <w:drawing>
                <wp:anchor distT="0" distB="0" distL="114300" distR="114300" simplePos="0" relativeHeight="251669504" behindDoc="1" locked="0" layoutInCell="1" allowOverlap="1" wp14:anchorId="26896AA3" wp14:editId="7C77E1B5">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4522A" w:rsidRPr="00FF7A7B">
              <w:rPr>
                <w:sz w:val="22"/>
              </w:rPr>
              <w:t>Volume 1</w:t>
            </w:r>
            <w:r w:rsidR="00316AA6" w:rsidRPr="00FF7A7B">
              <w:rPr>
                <w:sz w:val="22"/>
              </w:rPr>
              <w:t>5</w:t>
            </w:r>
            <w:r w:rsidR="0034522A" w:rsidRPr="00FF7A7B">
              <w:rPr>
                <w:sz w:val="22"/>
              </w:rPr>
              <w:t xml:space="preserve">, Issue </w:t>
            </w:r>
            <w:r w:rsidR="00FF7A7B" w:rsidRPr="00FF7A7B">
              <w:rPr>
                <w:sz w:val="22"/>
              </w:rPr>
              <w:t>11</w:t>
            </w:r>
            <w:r w:rsidR="0034522A" w:rsidRPr="00FF7A7B">
              <w:rPr>
                <w:sz w:val="22"/>
              </w:rPr>
              <w:t xml:space="preserve"> • </w:t>
            </w:r>
            <w:r w:rsidR="00FF7A7B" w:rsidRPr="00FF7A7B">
              <w:rPr>
                <w:sz w:val="22"/>
              </w:rPr>
              <w:t>Nov</w:t>
            </w:r>
            <w:r w:rsidR="00262E1F" w:rsidRPr="00FF7A7B">
              <w:rPr>
                <w:sz w:val="22"/>
              </w:rPr>
              <w:t>.</w:t>
            </w:r>
            <w:r w:rsidR="0034522A" w:rsidRPr="00FF7A7B">
              <w:rPr>
                <w:sz w:val="22"/>
              </w:rPr>
              <w:t xml:space="preserve"> </w:t>
            </w:r>
            <w:r w:rsidR="00316AA6" w:rsidRPr="00FF7A7B">
              <w:rPr>
                <w:sz w:val="22"/>
              </w:rPr>
              <w:t>2020</w:t>
            </w:r>
          </w:p>
        </w:tc>
        <w:tc>
          <w:tcPr>
            <w:tcW w:w="7200" w:type="dxa"/>
            <w:tcBorders>
              <w:bottom w:val="single" w:sz="8" w:space="0" w:color="D0CECE" w:themeColor="background2" w:themeShade="E6"/>
            </w:tcBorders>
          </w:tcPr>
          <w:p w14:paraId="67EB8E41" w14:textId="2F5EDEA0" w:rsidR="0034522A" w:rsidRDefault="0034522A" w:rsidP="00FF7A7B">
            <w:pPr>
              <w:pStyle w:val="HeadH1-Volume"/>
              <w:framePr w:hSpace="0" w:wrap="auto" w:vAnchor="margin" w:yAlign="inline"/>
              <w:suppressOverlap w:val="0"/>
              <w:rPr>
                <w:rFonts w:eastAsia="Calibri"/>
                <w:noProof/>
                <w:color w:val="000000" w:themeColor="text1"/>
                <w:sz w:val="48"/>
                <w:szCs w:val="52"/>
              </w:rPr>
            </w:pPr>
            <w:r>
              <w:t>Monthly Security Tips Newsletter</w:t>
            </w:r>
          </w:p>
        </w:tc>
      </w:tr>
      <w:tr w:rsidR="00002EC2" w14:paraId="092CC5FE" w14:textId="77777777" w:rsidTr="006E1445">
        <w:trPr>
          <w:cantSplit/>
          <w:trHeight w:hRule="exact" w:val="3168"/>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vAlign w:val="center"/>
          </w:tcPr>
          <w:p w14:paraId="66386DEE" w14:textId="77777777" w:rsidR="00002EC2" w:rsidRDefault="00002EC2" w:rsidP="007051B0">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1723D57A" w:rsidR="00002EC2" w:rsidRPr="00D75A36" w:rsidRDefault="00635DC4" w:rsidP="007051B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Michael</w:t>
            </w:r>
            <w:r w:rsidR="00002EC2">
              <w:rPr>
                <w:rFonts w:ascii="Arial" w:hAnsi="Arial" w:cs="Arial"/>
                <w:b/>
                <w:bCs/>
                <w:color w:val="FFFFFF" w:themeColor="background1"/>
                <w:sz w:val="32"/>
                <w:szCs w:val="32"/>
              </w:rPr>
              <w:t xml:space="preserve"> </w:t>
            </w:r>
            <w:r>
              <w:rPr>
                <w:rFonts w:ascii="Arial" w:hAnsi="Arial" w:cs="Arial"/>
                <w:b/>
                <w:bCs/>
                <w:color w:val="FFFFFF" w:themeColor="background1"/>
                <w:sz w:val="32"/>
                <w:szCs w:val="32"/>
              </w:rPr>
              <w:t>Aliperti</w:t>
            </w:r>
          </w:p>
          <w:p w14:paraId="720A8B9C" w14:textId="77777777" w:rsidR="00002EC2" w:rsidRPr="00D75A36" w:rsidRDefault="00002EC2" w:rsidP="007051B0">
            <w:pPr>
              <w:jc w:val="center"/>
              <w:rPr>
                <w:rFonts w:ascii="Arial" w:hAnsi="Arial" w:cs="Arial"/>
                <w:color w:val="FFFFFF" w:themeColor="background1"/>
                <w:sz w:val="20"/>
                <w:szCs w:val="20"/>
              </w:rPr>
            </w:pPr>
          </w:p>
          <w:p w14:paraId="376706FC" w14:textId="63551FAC" w:rsidR="00002EC2" w:rsidRPr="00002EC2" w:rsidRDefault="00002EC2" w:rsidP="007051B0">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tcBorders>
              <w:top w:val="single" w:sz="8" w:space="0" w:color="D0CECE" w:themeColor="background2" w:themeShade="E6"/>
              <w:left w:val="nil"/>
              <w:bottom w:val="single" w:sz="8" w:space="0" w:color="D0CECE" w:themeColor="background2" w:themeShade="E6"/>
            </w:tcBorders>
            <w:vAlign w:val="center"/>
          </w:tcPr>
          <w:p w14:paraId="0683CBC4" w14:textId="3ECBADAF" w:rsidR="00002EC2" w:rsidRPr="00FF7A7B" w:rsidRDefault="00FF7A7B" w:rsidP="00B80638">
            <w:pPr>
              <w:pStyle w:val="TitleH1"/>
              <w:framePr w:hSpace="0" w:wrap="auto" w:vAnchor="margin" w:yAlign="inline"/>
              <w:suppressOverlap w:val="0"/>
              <w:rPr>
                <w:sz w:val="72"/>
                <w:szCs w:val="72"/>
              </w:rPr>
            </w:pPr>
            <w:r w:rsidRPr="00FF7A7B">
              <w:rPr>
                <w:sz w:val="72"/>
                <w:szCs w:val="72"/>
              </w:rPr>
              <w:t xml:space="preserve">What You Need </w:t>
            </w:r>
            <w:r w:rsidRPr="00FF7A7B">
              <w:rPr>
                <w:sz w:val="72"/>
                <w:szCs w:val="72"/>
              </w:rPr>
              <w:br/>
              <w:t>to Know About Ransomware</w:t>
            </w:r>
          </w:p>
        </w:tc>
      </w:tr>
      <w:tr w:rsidR="006E1445" w14:paraId="6D440C09" w14:textId="77777777" w:rsidTr="00505CC6">
        <w:trPr>
          <w:cantSplit/>
        </w:trPr>
        <w:tc>
          <w:tcPr>
            <w:tcW w:w="3600" w:type="dxa"/>
            <w:tcBorders>
              <w:top w:val="single" w:sz="8" w:space="0" w:color="D0CECE" w:themeColor="background2" w:themeShade="E6"/>
              <w:bottom w:val="single" w:sz="4" w:space="0" w:color="D0CECE" w:themeColor="background2" w:themeShade="E6"/>
              <w:right w:val="nil"/>
            </w:tcBorders>
          </w:tcPr>
          <w:p w14:paraId="21DD4F61" w14:textId="2FBBB787" w:rsidR="006E1445" w:rsidRPr="00FA03C3" w:rsidRDefault="00FF7A7B" w:rsidP="00FF7A7B">
            <w:pPr>
              <w:pStyle w:val="HeadH2-Table"/>
              <w:framePr w:hSpace="0" w:wrap="auto" w:vAnchor="margin" w:yAlign="inline"/>
              <w:suppressOverlap w:val="0"/>
            </w:pPr>
            <w:r>
              <w:t>What is Ransomware</w:t>
            </w:r>
          </w:p>
        </w:tc>
        <w:tc>
          <w:tcPr>
            <w:tcW w:w="7200" w:type="dxa"/>
            <w:tcBorders>
              <w:top w:val="single" w:sz="8" w:space="0" w:color="D0CECE" w:themeColor="background2" w:themeShade="E6"/>
              <w:left w:val="nil"/>
              <w:bottom w:val="single" w:sz="4" w:space="0" w:color="D0CECE" w:themeColor="background2" w:themeShade="E6"/>
            </w:tcBorders>
          </w:tcPr>
          <w:p w14:paraId="214A186D" w14:textId="4F7C7D13" w:rsidR="00FF7A7B" w:rsidRDefault="00FF7A7B" w:rsidP="00FF7A7B">
            <w:pPr>
              <w:pStyle w:val="BodyP1"/>
              <w:framePr w:hSpace="0" w:wrap="auto" w:vAnchor="margin" w:yAlign="inline"/>
              <w:suppressOverlap w:val="0"/>
            </w:pPr>
            <w:bookmarkStart w:id="0" w:name="_Hlk55905886"/>
            <w:r w:rsidRPr="001F1586">
              <w:t xml:space="preserve">Ransomware is a type of </w:t>
            </w:r>
            <w:r>
              <w:t xml:space="preserve">malicious software, or malware, </w:t>
            </w:r>
            <w:r w:rsidRPr="001F1586">
              <w:t>that blocks access to a system, device, or file until a ransom is paid.</w:t>
            </w:r>
            <w:r>
              <w:t xml:space="preserve"> It is an illegal,</w:t>
            </w:r>
            <w:r w:rsidRPr="000A3F39">
              <w:t xml:space="preserve"> moneymaking scheme that can be installed through deceptive links in an email message, instant message</w:t>
            </w:r>
            <w:r>
              <w:t>,</w:t>
            </w:r>
            <w:r w:rsidRPr="000A3F39">
              <w:t xml:space="preserve"> or website. </w:t>
            </w:r>
          </w:p>
          <w:p w14:paraId="05EA6425" w14:textId="75D7233B" w:rsidR="00FF7A7B" w:rsidRDefault="00FF7A7B" w:rsidP="00FF7A7B">
            <w:pPr>
              <w:pStyle w:val="BodyP1"/>
              <w:framePr w:hSpace="0" w:wrap="auto" w:vAnchor="margin" w:yAlign="inline"/>
              <w:suppressOverlap w:val="0"/>
            </w:pPr>
            <w:r>
              <w:t xml:space="preserve">Ransomware works by </w:t>
            </w:r>
            <w:r w:rsidRPr="001F1586">
              <w:t>encrypt</w:t>
            </w:r>
            <w:r>
              <w:t>ing</w:t>
            </w:r>
            <w:r w:rsidRPr="001F1586">
              <w:t xml:space="preserve"> files on the infected system (crypto ransomware), threaten</w:t>
            </w:r>
            <w:r>
              <w:t>ing</w:t>
            </w:r>
            <w:r w:rsidRPr="001F1586">
              <w:t xml:space="preserve"> to erase files (wiper ransomware), or block</w:t>
            </w:r>
            <w:r>
              <w:t>ing</w:t>
            </w:r>
            <w:r w:rsidRPr="001F1586">
              <w:t xml:space="preserve"> system access (locker ransomware) for the victim. The ransom amount and contact information for the cyber threat actor (CTA) is typically included in a ransom note that appears on the victim’s screen after their files are locked or encrypted. </w:t>
            </w:r>
            <w:bookmarkEnd w:id="0"/>
          </w:p>
          <w:p w14:paraId="7051B087" w14:textId="7B3C5B7E" w:rsidR="00FF7A7B" w:rsidRDefault="00FF7A7B" w:rsidP="00FF7A7B">
            <w:pPr>
              <w:pStyle w:val="BodyP1"/>
              <w:framePr w:hSpace="0" w:wrap="auto" w:vAnchor="margin" w:yAlign="inline"/>
              <w:suppressOverlap w:val="0"/>
            </w:pPr>
            <w:r w:rsidRPr="001F1586">
              <w:t>Sometimes the CTA only includes contact information in the note and will likely attempt to negotiate the ransom amount once they are contacted.</w:t>
            </w:r>
            <w:r w:rsidRPr="00ED6AAC">
              <w:t xml:space="preserve"> </w:t>
            </w:r>
            <w:r>
              <w:t>The ransom demand is usually in the form of cryptocurrency, such as Bitcoin, and can</w:t>
            </w:r>
            <w:r w:rsidRPr="00C47CCA">
              <w:t xml:space="preserve"> range from as little as several hundred dollars up to and exceeding one million dollars. It is not uncharacteristic to see multi-million-dollar ransom demands in the current threat landscape.</w:t>
            </w:r>
          </w:p>
          <w:p w14:paraId="08EE1751" w14:textId="77777777" w:rsidR="00FF7A7B" w:rsidRDefault="00FF7A7B" w:rsidP="00FF7A7B">
            <w:pPr>
              <w:pStyle w:val="BodyP1"/>
              <w:framePr w:hSpace="0" w:wrap="auto" w:vAnchor="margin" w:yAlign="inline"/>
              <w:suppressOverlap w:val="0"/>
            </w:pPr>
            <w:r w:rsidRPr="00094345">
              <w:t>Ransomware is primarily delivered through</w:t>
            </w:r>
            <w:r>
              <w:t xml:space="preserve"> the following means</w:t>
            </w:r>
            <w:r w:rsidRPr="00094345">
              <w:t>:</w:t>
            </w:r>
          </w:p>
          <w:p w14:paraId="189BDD4C" w14:textId="77777777" w:rsidR="00FF7A7B" w:rsidRPr="00094345" w:rsidRDefault="00FF7A7B" w:rsidP="00FF7A7B">
            <w:pPr>
              <w:pStyle w:val="BodyL1-Bullet"/>
              <w:framePr w:hSpace="0" w:wrap="auto" w:vAnchor="margin" w:yAlign="inline"/>
              <w:suppressOverlap w:val="0"/>
            </w:pPr>
            <w:r w:rsidRPr="00094345">
              <w:t>Malicious attachments/links sent in an email.</w:t>
            </w:r>
          </w:p>
          <w:p w14:paraId="2E855FC9" w14:textId="77777777" w:rsidR="00FF7A7B" w:rsidRPr="00094345" w:rsidRDefault="00FF7A7B" w:rsidP="00FF7A7B">
            <w:pPr>
              <w:pStyle w:val="BodyL1-Bullet"/>
              <w:framePr w:hSpace="0" w:wrap="auto" w:vAnchor="margin" w:yAlign="inline"/>
              <w:suppressOverlap w:val="0"/>
            </w:pPr>
            <w:r w:rsidRPr="00094345">
              <w:t xml:space="preserve">Network intrusion through </w:t>
            </w:r>
            <w:proofErr w:type="gramStart"/>
            <w:r w:rsidRPr="00094345">
              <w:t>poorly</w:t>
            </w:r>
            <w:r>
              <w:t>-</w:t>
            </w:r>
            <w:r w:rsidRPr="00094345">
              <w:t>secured</w:t>
            </w:r>
            <w:proofErr w:type="gramEnd"/>
            <w:r w:rsidRPr="00094345">
              <w:t xml:space="preserve"> ports and services, such as </w:t>
            </w:r>
            <w:r w:rsidRPr="00E501F8">
              <w:t>Remote Desktop Protocol</w:t>
            </w:r>
            <w:r w:rsidRPr="00094345">
              <w:t> (RDP) (e.g. Phobos ransomware variant).</w:t>
            </w:r>
          </w:p>
          <w:p w14:paraId="4DB87E2E" w14:textId="77777777" w:rsidR="00FF7A7B" w:rsidRPr="00094345" w:rsidRDefault="00FF7A7B" w:rsidP="00FF7A7B">
            <w:pPr>
              <w:pStyle w:val="BodyL1-Bullet"/>
              <w:framePr w:hSpace="0" w:wrap="auto" w:vAnchor="margin" w:yAlign="inline"/>
              <w:suppressOverlap w:val="0"/>
            </w:pPr>
            <w:r w:rsidRPr="00094345">
              <w:t>Dropped by other malware infections (</w:t>
            </w:r>
            <w:proofErr w:type="gramStart"/>
            <w:r w:rsidRPr="00094345">
              <w:t>e.g.</w:t>
            </w:r>
            <w:proofErr w:type="gramEnd"/>
            <w:r w:rsidRPr="00094345">
              <w:t xml:space="preserve"> initial </w:t>
            </w:r>
            <w:proofErr w:type="spellStart"/>
            <w:r w:rsidRPr="00E501F8">
              <w:t>TrickBot</w:t>
            </w:r>
            <w:proofErr w:type="spellEnd"/>
            <w:r w:rsidRPr="00094345">
              <w:t> infection leading to a </w:t>
            </w:r>
            <w:proofErr w:type="spellStart"/>
            <w:r w:rsidRPr="00E501F8">
              <w:t>Ryuk</w:t>
            </w:r>
            <w:proofErr w:type="spellEnd"/>
            <w:r w:rsidRPr="00094345">
              <w:t> ransomware attack).</w:t>
            </w:r>
          </w:p>
          <w:p w14:paraId="423B0538" w14:textId="686C41EA" w:rsidR="006E1445" w:rsidRPr="009E312A" w:rsidRDefault="00FF7A7B" w:rsidP="00FF7A7B">
            <w:pPr>
              <w:pStyle w:val="BodyL1-Bullet"/>
              <w:framePr w:hSpace="0" w:wrap="auto" w:vAnchor="margin" w:yAlign="inline"/>
              <w:suppressOverlap w:val="0"/>
            </w:pPr>
            <w:proofErr w:type="spellStart"/>
            <w:r w:rsidRPr="00094345">
              <w:t>Wormable</w:t>
            </w:r>
            <w:proofErr w:type="spellEnd"/>
            <w:r w:rsidRPr="00094345">
              <w:t xml:space="preserve"> and other forms of ransomware that exploit network vulnerabilities (</w:t>
            </w:r>
            <w:proofErr w:type="gramStart"/>
            <w:r w:rsidRPr="00094345">
              <w:t>e.g.</w:t>
            </w:r>
            <w:proofErr w:type="gramEnd"/>
            <w:r w:rsidRPr="00094345">
              <w:t xml:space="preserve"> the WannaCry ransomware variant).</w:t>
            </w:r>
          </w:p>
        </w:tc>
      </w:tr>
    </w:tbl>
    <w:p w14:paraId="11928E77" w14:textId="77777777" w:rsidR="00FF7A7B" w:rsidRDefault="00FF7A7B">
      <w:r>
        <w:rPr>
          <w:b/>
          <w:bCs/>
        </w:rP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6E1445" w14:paraId="73288525" w14:textId="77777777" w:rsidTr="00505CC6">
        <w:trPr>
          <w:cantSplit/>
        </w:trPr>
        <w:tc>
          <w:tcPr>
            <w:tcW w:w="3600" w:type="dxa"/>
            <w:tcBorders>
              <w:top w:val="single" w:sz="8" w:space="0" w:color="D0CECE" w:themeColor="background2" w:themeShade="E6"/>
              <w:bottom w:val="single" w:sz="4" w:space="0" w:color="D0CECE" w:themeColor="background2" w:themeShade="E6"/>
              <w:right w:val="nil"/>
            </w:tcBorders>
          </w:tcPr>
          <w:p w14:paraId="3C493840" w14:textId="33EC76B3" w:rsidR="006E1445" w:rsidRPr="00FA03C3" w:rsidRDefault="00FF7A7B" w:rsidP="00FF7A7B">
            <w:pPr>
              <w:pStyle w:val="HeadH2-Table"/>
              <w:framePr w:hSpace="0" w:wrap="auto" w:vAnchor="margin" w:yAlign="inline"/>
              <w:suppressOverlap w:val="0"/>
            </w:pPr>
            <w:r w:rsidRPr="009B473F">
              <w:lastRenderedPageBreak/>
              <w:t xml:space="preserve">Why </w:t>
            </w:r>
            <w:r>
              <w:t>is Ransomware Awareness</w:t>
            </w:r>
            <w:r w:rsidRPr="009B473F">
              <w:t xml:space="preserve"> </w:t>
            </w:r>
            <w:r>
              <w:t>I</w:t>
            </w:r>
            <w:r w:rsidRPr="009B473F">
              <w:t>mportant?</w:t>
            </w:r>
          </w:p>
        </w:tc>
        <w:tc>
          <w:tcPr>
            <w:tcW w:w="7200" w:type="dxa"/>
            <w:tcBorders>
              <w:top w:val="single" w:sz="8" w:space="0" w:color="D0CECE" w:themeColor="background2" w:themeShade="E6"/>
              <w:left w:val="nil"/>
              <w:bottom w:val="single" w:sz="4" w:space="0" w:color="D0CECE" w:themeColor="background2" w:themeShade="E6"/>
            </w:tcBorders>
          </w:tcPr>
          <w:p w14:paraId="1C6CF2AA" w14:textId="67D4F7DF" w:rsidR="00FF7A7B" w:rsidRDefault="00FF7A7B" w:rsidP="00FF7A7B">
            <w:pPr>
              <w:pStyle w:val="BodyP1"/>
              <w:framePr w:hSpace="0" w:wrap="auto" w:vAnchor="margin" w:yAlign="inline"/>
              <w:suppressOverlap w:val="0"/>
            </w:pPr>
            <w:r>
              <w:t>Ransomware is a growing and expensive problem. In 2019, t</w:t>
            </w:r>
            <w:r w:rsidRPr="00D730D4">
              <w:t xml:space="preserve">he </w:t>
            </w:r>
            <w:r>
              <w:t>Multi-State Information Sharing and Analysis Center (</w:t>
            </w:r>
            <w:r w:rsidRPr="00D730D4">
              <w:t>MS-ISAC</w:t>
            </w:r>
            <w:r>
              <w:t>)</w:t>
            </w:r>
            <w:r w:rsidRPr="00D730D4">
              <w:t xml:space="preserve"> observed a 153% increase in the number of reported </w:t>
            </w:r>
            <w:proofErr w:type="gramStart"/>
            <w:r>
              <w:t>state</w:t>
            </w:r>
            <w:proofErr w:type="gramEnd"/>
            <w:r>
              <w:t>, local, tribal, and territorial (</w:t>
            </w:r>
            <w:r w:rsidRPr="00D730D4">
              <w:t>SLTT</w:t>
            </w:r>
            <w:r>
              <w:t>)</w:t>
            </w:r>
            <w:r w:rsidRPr="00D730D4">
              <w:t xml:space="preserve"> government ransomware attacks from the previous year. Many of these incidents resulted in significant network downtime, delayed services to constituents, and costly remediation efforts.</w:t>
            </w:r>
            <w:r>
              <w:t xml:space="preserve"> </w:t>
            </w:r>
          </w:p>
          <w:p w14:paraId="7303D160" w14:textId="77777777" w:rsidR="00FF7A7B" w:rsidRDefault="00FF7A7B" w:rsidP="00FF7A7B">
            <w:pPr>
              <w:pStyle w:val="BodyP1"/>
              <w:framePr w:hSpace="0" w:wrap="auto" w:vAnchor="margin" w:yAlign="inline"/>
              <w:suppressOverlap w:val="0"/>
            </w:pPr>
            <w:r>
              <w:t xml:space="preserve">Victims of ransomware are not only </w:t>
            </w:r>
            <w:r w:rsidRPr="00384A35">
              <w:t>at risk of losing access to their systems and files</w:t>
            </w:r>
            <w:r>
              <w:t>. In many cases,</w:t>
            </w:r>
            <w:r w:rsidRPr="00384A35">
              <w:t xml:space="preserve"> they may also experience financial loss due to legal costs, purchasing credit monitoring services for employees/customers, or ultimately deciding to pay the ransom. The effects of a ransomware attack are particularly </w:t>
            </w:r>
            <w:r>
              <w:t>harmful</w:t>
            </w:r>
            <w:r w:rsidRPr="00384A35">
              <w:t xml:space="preserve"> when </w:t>
            </w:r>
            <w:r>
              <w:t>it</w:t>
            </w:r>
            <w:r w:rsidRPr="00384A35">
              <w:t xml:space="preserve"> impact</w:t>
            </w:r>
            <w:r>
              <w:t>s</w:t>
            </w:r>
            <w:r w:rsidRPr="00384A35">
              <w:t xml:space="preserve"> emergency services and critical infrastructure, such as 911 call centers and hospitals.</w:t>
            </w:r>
          </w:p>
          <w:p w14:paraId="13DB5730" w14:textId="77777777" w:rsidR="00FF7A7B" w:rsidRDefault="00FF7A7B" w:rsidP="00FF7A7B">
            <w:pPr>
              <w:pStyle w:val="BodyP1"/>
              <w:framePr w:hSpace="0" w:wrap="auto" w:vAnchor="margin" w:yAlign="inline"/>
              <w:suppressOverlap w:val="0"/>
            </w:pPr>
            <w:r w:rsidRPr="00094345">
              <w:t>Additionally, CTAs target managed service providers (MSPs)</w:t>
            </w:r>
            <w:r>
              <w:t>,</w:t>
            </w:r>
            <w:r w:rsidRPr="00094345">
              <w:t xml:space="preserve"> </w:t>
            </w:r>
            <w:r w:rsidRPr="001C066A">
              <w:t>a company that manages a customer's I</w:t>
            </w:r>
            <w:r>
              <w:t xml:space="preserve">nformation </w:t>
            </w:r>
            <w:r w:rsidRPr="001C066A">
              <w:t>T</w:t>
            </w:r>
            <w:r>
              <w:t>echnology (IT)</w:t>
            </w:r>
            <w:r w:rsidRPr="001C066A">
              <w:t xml:space="preserve"> infrastructure</w:t>
            </w:r>
            <w:r>
              <w:t xml:space="preserve">, </w:t>
            </w:r>
            <w:r w:rsidRPr="00094345">
              <w:t>to push out ransomware to multiple entities. This occurs when CTAs compromise an MSP and use their existing infrastructure to disseminate the ransomware to the MSP</w:t>
            </w:r>
            <w:r>
              <w:t>’</w:t>
            </w:r>
            <w:r w:rsidRPr="00094345">
              <w:t>s clientele. This exploits the trusted relationship between the customer and their MSP.</w:t>
            </w:r>
          </w:p>
          <w:p w14:paraId="5FFFCB56" w14:textId="618E5693" w:rsidR="006E1445" w:rsidRPr="00EC0B3F" w:rsidRDefault="00FF7A7B" w:rsidP="00FF7A7B">
            <w:pPr>
              <w:pStyle w:val="BodyP1"/>
              <w:framePr w:hSpace="0" w:wrap="auto" w:vAnchor="margin" w:yAlign="inline"/>
              <w:suppressOverlap w:val="0"/>
            </w:pPr>
            <w:r w:rsidRPr="00860AAE">
              <w:t xml:space="preserve">Over the past few years, the MS-ISAC observed an increase in </w:t>
            </w:r>
            <w:r>
              <w:t>means</w:t>
            </w:r>
            <w:r w:rsidRPr="00860AAE">
              <w:t xml:space="preserve"> that allow CTAs to evade detection and maximize the impact of their attacks. </w:t>
            </w:r>
            <w:r>
              <w:t xml:space="preserve">One such means </w:t>
            </w:r>
            <w:r w:rsidRPr="00860AAE">
              <w:t>include</w:t>
            </w:r>
            <w:r>
              <w:t>s what is called</w:t>
            </w:r>
            <w:r w:rsidRPr="00860AAE">
              <w:t xml:space="preserve"> “living off the land” (LOTL): deploying </w:t>
            </w:r>
            <w:proofErr w:type="gramStart"/>
            <w:r w:rsidRPr="00860AAE">
              <w:t>publicly</w:t>
            </w:r>
            <w:r>
              <w:t>-</w:t>
            </w:r>
            <w:r w:rsidRPr="00860AAE">
              <w:t>available</w:t>
            </w:r>
            <w:proofErr w:type="gramEnd"/>
            <w:r w:rsidRPr="00860AAE">
              <w:t xml:space="preserve"> pen</w:t>
            </w:r>
            <w:r>
              <w:t>etration</w:t>
            </w:r>
            <w:r w:rsidRPr="00860AAE">
              <w:t xml:space="preserve"> testing suites or tools (e.g.</w:t>
            </w:r>
            <w:r>
              <w:t>,</w:t>
            </w:r>
            <w:r w:rsidRPr="00860AAE">
              <w:t xml:space="preserve"> Cobalt Strike, Metasploit, or </w:t>
            </w:r>
            <w:proofErr w:type="spellStart"/>
            <w:r w:rsidRPr="00860AAE">
              <w:t>Mimikatz</w:t>
            </w:r>
            <w:proofErr w:type="spellEnd"/>
            <w:r w:rsidRPr="00860AAE">
              <w:t xml:space="preserve">), to specifically target domain controllers and Active Directory to gain network wide access and deploy </w:t>
            </w:r>
            <w:proofErr w:type="spellStart"/>
            <w:r w:rsidRPr="00860AAE">
              <w:t>fileless</w:t>
            </w:r>
            <w:proofErr w:type="spellEnd"/>
            <w:r w:rsidRPr="00860AAE">
              <w:t xml:space="preserve"> ransomware to evade </w:t>
            </w:r>
            <w:r>
              <w:t xml:space="preserve">any </w:t>
            </w:r>
            <w:r w:rsidRPr="00860AAE">
              <w:t>signature-based antivirus.</w:t>
            </w:r>
          </w:p>
        </w:tc>
      </w:tr>
      <w:tr w:rsidR="006E1445" w14:paraId="3FE516B3" w14:textId="77777777" w:rsidTr="00505CC6">
        <w:trPr>
          <w:cantSplit/>
        </w:trPr>
        <w:tc>
          <w:tcPr>
            <w:tcW w:w="3600" w:type="dxa"/>
            <w:tcBorders>
              <w:top w:val="single" w:sz="8" w:space="0" w:color="D0CECE" w:themeColor="background2" w:themeShade="E6"/>
              <w:bottom w:val="single" w:sz="4" w:space="0" w:color="D0CECE" w:themeColor="background2" w:themeShade="E6"/>
              <w:right w:val="nil"/>
            </w:tcBorders>
          </w:tcPr>
          <w:p w14:paraId="3D3E75AF" w14:textId="724FE5B6" w:rsidR="006E1445" w:rsidRPr="00FA03C3" w:rsidRDefault="00FF7A7B" w:rsidP="00FF7A7B">
            <w:pPr>
              <w:pStyle w:val="HeadH2-Table"/>
              <w:framePr w:hSpace="0" w:wrap="auto" w:vAnchor="margin" w:yAlign="inline"/>
              <w:suppressOverlap w:val="0"/>
            </w:pPr>
            <w:r>
              <w:t>What Can You Do About Ransomware?</w:t>
            </w:r>
          </w:p>
        </w:tc>
        <w:tc>
          <w:tcPr>
            <w:tcW w:w="7200" w:type="dxa"/>
            <w:tcBorders>
              <w:top w:val="single" w:sz="8" w:space="0" w:color="D0CECE" w:themeColor="background2" w:themeShade="E6"/>
              <w:left w:val="nil"/>
              <w:bottom w:val="single" w:sz="4" w:space="0" w:color="D0CECE" w:themeColor="background2" w:themeShade="E6"/>
            </w:tcBorders>
          </w:tcPr>
          <w:p w14:paraId="6C920B78" w14:textId="77777777" w:rsidR="00FF7A7B" w:rsidRDefault="00FF7A7B" w:rsidP="00FF7A7B">
            <w:pPr>
              <w:pStyle w:val="BodyP1"/>
              <w:framePr w:hSpace="0" w:wrap="auto" w:vAnchor="margin" w:yAlign="inline"/>
              <w:suppressOverlap w:val="0"/>
            </w:pPr>
            <w:r w:rsidRPr="00531DA5">
              <w:t>Defending against ransomware requires a holistic, all-hands-on-deck approach that brings together your entire organization.</w:t>
            </w:r>
            <w:r>
              <w:t xml:space="preserve"> </w:t>
            </w:r>
            <w:r w:rsidRPr="00804B6D">
              <w:t xml:space="preserve">While ransomware infections are not entirely preventable due to the effectiveness of well-crafted phishing emails and drive-by downloads from otherwise legitimate sites, organizations can </w:t>
            </w:r>
            <w:r>
              <w:t>significantly</w:t>
            </w:r>
            <w:r w:rsidRPr="00804B6D">
              <w:t xml:space="preserve"> reduce </w:t>
            </w:r>
            <w:r>
              <w:t>the</w:t>
            </w:r>
            <w:r w:rsidRPr="00804B6D">
              <w:t xml:space="preserve"> risk </w:t>
            </w:r>
            <w:r>
              <w:t xml:space="preserve">of ransomware </w:t>
            </w:r>
            <w:r w:rsidRPr="00804B6D">
              <w:t xml:space="preserve">by implementing cybersecurity </w:t>
            </w:r>
            <w:r>
              <w:t xml:space="preserve">policies and procedures </w:t>
            </w:r>
            <w:r w:rsidRPr="00804B6D">
              <w:t>and improving cybersecurity awareness and practices of all employees.</w:t>
            </w:r>
          </w:p>
          <w:p w14:paraId="53AF0A72" w14:textId="77777777" w:rsidR="00FF7A7B" w:rsidRDefault="00FF7A7B" w:rsidP="00FF7A7B">
            <w:pPr>
              <w:pStyle w:val="BodyP1"/>
              <w:framePr w:hSpace="0" w:wrap="auto" w:vAnchor="margin" w:yAlign="inline"/>
              <w:suppressOverlap w:val="0"/>
            </w:pPr>
            <w:r>
              <w:t>I</w:t>
            </w:r>
            <w:r w:rsidRPr="00CF4411">
              <w:t xml:space="preserve">t is up to all of us to help prevent </w:t>
            </w:r>
            <w:r>
              <w:t>ransomware</w:t>
            </w:r>
            <w:r w:rsidRPr="00CF4411">
              <w:t xml:space="preserve"> from successful</w:t>
            </w:r>
            <w:r>
              <w:t>ly infecting our systems</w:t>
            </w:r>
            <w:r w:rsidRPr="00CF4411">
              <w:t>.</w:t>
            </w:r>
            <w:r>
              <w:t xml:space="preserve"> </w:t>
            </w:r>
            <w:r w:rsidRPr="00804B6D">
              <w:t>To increase the likelihood of preventing ransomware infections, organizations must</w:t>
            </w:r>
            <w:r>
              <w:t xml:space="preserve"> implement </w:t>
            </w:r>
            <w:r w:rsidRPr="009D6162">
              <w:t>a cybersecurity user awareness and training program that</w:t>
            </w:r>
            <w:r>
              <w:t xml:space="preserve"> </w:t>
            </w:r>
            <w:r w:rsidRPr="009D6162">
              <w:t>includes guidance on how to identify and report suspicious activity (e.g.,</w:t>
            </w:r>
            <w:r>
              <w:t xml:space="preserve"> </w:t>
            </w:r>
            <w:r w:rsidRPr="009D6162">
              <w:t>phishing) or incidents.</w:t>
            </w:r>
            <w:r>
              <w:t xml:space="preserve"> This program should include </w:t>
            </w:r>
            <w:r w:rsidRPr="009D6162">
              <w:t>organization-wide phishing tests to gauge</w:t>
            </w:r>
            <w:r>
              <w:t xml:space="preserve"> </w:t>
            </w:r>
            <w:r w:rsidRPr="009D6162">
              <w:t xml:space="preserve">user awareness and reinforce the </w:t>
            </w:r>
            <w:r w:rsidRPr="009D6162">
              <w:lastRenderedPageBreak/>
              <w:t>importance of identifying potentially</w:t>
            </w:r>
            <w:r>
              <w:t xml:space="preserve"> </w:t>
            </w:r>
            <w:r w:rsidRPr="009D6162">
              <w:t>malicious emails.</w:t>
            </w:r>
            <w:r>
              <w:t xml:space="preserve"> </w:t>
            </w:r>
            <w:r w:rsidRPr="00A302BB">
              <w:t>When employees can spot and avoid malicious emails, everyone plays a part in protecting the organization.</w:t>
            </w:r>
          </w:p>
          <w:p w14:paraId="203582BC" w14:textId="7E2C6901" w:rsidR="006E1445" w:rsidRPr="009E312A" w:rsidRDefault="00FF7A7B" w:rsidP="00FF7A7B">
            <w:pPr>
              <w:pStyle w:val="BodyP1"/>
              <w:framePr w:hSpace="0" w:wrap="auto" w:vAnchor="margin" w:yAlign="inline"/>
              <w:suppressOverlap w:val="0"/>
            </w:pPr>
            <w:r>
              <w:t xml:space="preserve">If your organization becomes infected with ransomware, there are some things you can do to respond. </w:t>
            </w:r>
            <w:r w:rsidRPr="00804B6D">
              <w:t>The most effective strategy to mitigate the risk of data loss resulting from a successful ransomware attack is having a comprehensive data backup process in place; however, backups must be stored off the network and tested regularly to ensure integrity.</w:t>
            </w:r>
            <w:r>
              <w:t xml:space="preserve"> </w:t>
            </w:r>
          </w:p>
        </w:tc>
      </w:tr>
      <w:tr w:rsidR="006E1445" w14:paraId="077A6F94" w14:textId="77777777" w:rsidTr="00505CC6">
        <w:trPr>
          <w:cantSplit/>
        </w:trPr>
        <w:tc>
          <w:tcPr>
            <w:tcW w:w="3600" w:type="dxa"/>
            <w:tcBorders>
              <w:top w:val="single" w:sz="8" w:space="0" w:color="D0CECE" w:themeColor="background2" w:themeShade="E6"/>
              <w:bottom w:val="single" w:sz="4" w:space="0" w:color="D0CECE" w:themeColor="background2" w:themeShade="E6"/>
              <w:right w:val="nil"/>
            </w:tcBorders>
          </w:tcPr>
          <w:p w14:paraId="7F13BFD6" w14:textId="1499E6F5" w:rsidR="006E1445" w:rsidRPr="00FA03C3" w:rsidRDefault="00FF7A7B" w:rsidP="00FF7A7B">
            <w:pPr>
              <w:pStyle w:val="HeadH2-Table"/>
              <w:framePr w:hSpace="0" w:wrap="auto" w:vAnchor="margin" w:yAlign="inline"/>
              <w:suppressOverlap w:val="0"/>
            </w:pPr>
            <w:r>
              <w:lastRenderedPageBreak/>
              <w:t>Reporting Ransomware</w:t>
            </w:r>
          </w:p>
        </w:tc>
        <w:tc>
          <w:tcPr>
            <w:tcW w:w="7200" w:type="dxa"/>
            <w:tcBorders>
              <w:top w:val="single" w:sz="8" w:space="0" w:color="D0CECE" w:themeColor="background2" w:themeShade="E6"/>
              <w:left w:val="nil"/>
              <w:bottom w:val="single" w:sz="4" w:space="0" w:color="D0CECE" w:themeColor="background2" w:themeShade="E6"/>
            </w:tcBorders>
          </w:tcPr>
          <w:p w14:paraId="33B37ACA" w14:textId="78BE5ABE" w:rsidR="006E1445" w:rsidRPr="006E1445" w:rsidRDefault="00FF7A7B" w:rsidP="00FF7A7B">
            <w:pPr>
              <w:pStyle w:val="BodyP1"/>
              <w:framePr w:hSpace="0" w:wrap="auto" w:vAnchor="margin" w:yAlign="inline"/>
              <w:suppressOverlap w:val="0"/>
            </w:pPr>
            <w:r w:rsidRPr="00900100">
              <w:t xml:space="preserve">If your organization is the victim of a ransomware infection, </w:t>
            </w:r>
            <w:r>
              <w:t>follow your organization’s incident response procedures to report it. Alternatively, the Cybersecurity and Infrastructure Security Agency (</w:t>
            </w:r>
            <w:r w:rsidRPr="00E46C4F">
              <w:t>CISA</w:t>
            </w:r>
            <w:r>
              <w:t>)</w:t>
            </w:r>
            <w:r w:rsidRPr="00E46C4F">
              <w:t xml:space="preserve"> provides </w:t>
            </w:r>
            <w:r>
              <w:t xml:space="preserve">a </w:t>
            </w:r>
            <w:r w:rsidRPr="00E46C4F">
              <w:t>secure means for constituents and partners to report incidents, phishing attempts, malware, and vulnerabilities. To submit a report</w:t>
            </w:r>
            <w:r>
              <w:t xml:space="preserve">, visit </w:t>
            </w:r>
            <w:hyperlink r:id="rId9" w:history="1">
              <w:r w:rsidRPr="00F70E94">
                <w:rPr>
                  <w:rStyle w:val="Hyperlink"/>
                </w:rPr>
                <w:t>https://us-cert.cisa.gov/report</w:t>
              </w:r>
            </w:hyperlink>
            <w:r>
              <w:t>.</w:t>
            </w:r>
          </w:p>
        </w:tc>
      </w:tr>
      <w:tr w:rsidR="0034522A" w14:paraId="7997DD70" w14:textId="77777777" w:rsidTr="00505CC6">
        <w:trPr>
          <w:cantSplit/>
        </w:trPr>
        <w:tc>
          <w:tcPr>
            <w:tcW w:w="3600" w:type="dxa"/>
            <w:tcBorders>
              <w:top w:val="single" w:sz="8" w:space="0" w:color="D0CECE" w:themeColor="background2" w:themeShade="E6"/>
              <w:bottom w:val="single" w:sz="8" w:space="0" w:color="D0CECE" w:themeColor="background2" w:themeShade="E6"/>
              <w:right w:val="nil"/>
            </w:tcBorders>
          </w:tcPr>
          <w:p w14:paraId="54C0E9C7" w14:textId="5A63FC00" w:rsidR="0034522A" w:rsidRDefault="0034522A" w:rsidP="005807DF">
            <w:pPr>
              <w:spacing w:before="120"/>
            </w:pPr>
            <w:r w:rsidRPr="004349AF">
              <w:rPr>
                <w:rFonts w:ascii="Calibri" w:hAnsi="Calibri" w:cs="Times New Roman"/>
                <w:noProof/>
              </w:rPr>
              <w:drawing>
                <wp:inline distT="0" distB="0" distL="0" distR="0" wp14:anchorId="3CE842FC" wp14:editId="355E84CE">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48C779C5" w14:textId="77777777" w:rsidR="00342A59" w:rsidRDefault="00342A59" w:rsidP="007051B0"/>
          <w:p w14:paraId="6602243A" w14:textId="77777777" w:rsidR="0034522A" w:rsidRDefault="0034522A" w:rsidP="007051B0"/>
          <w:p w14:paraId="380B51DD" w14:textId="1F523671" w:rsidR="0034522A" w:rsidRDefault="0034522A" w:rsidP="007051B0">
            <w:pPr>
              <w:ind w:left="288"/>
            </w:pPr>
            <w:r w:rsidRPr="004349AF">
              <w:rPr>
                <w:rFonts w:ascii="Times New Roman" w:hAnsi="Times New Roman" w:cs="Times New Roman"/>
                <w:noProof/>
                <w:sz w:val="18"/>
                <w:szCs w:val="20"/>
              </w:rPr>
              <w:drawing>
                <wp:inline distT="0" distB="0" distL="0" distR="0" wp14:anchorId="2FFF41BA" wp14:editId="6E894AA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left w:val="nil"/>
              <w:bottom w:val="single" w:sz="8" w:space="0" w:color="D0CECE" w:themeColor="background2" w:themeShade="E6"/>
            </w:tcBorders>
          </w:tcPr>
          <w:p w14:paraId="0455F92C" w14:textId="77777777" w:rsidR="0034522A" w:rsidRPr="004349AF" w:rsidRDefault="0034522A" w:rsidP="007051B0">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9A8BE43" w14:textId="7144B944" w:rsidR="0034522A" w:rsidRDefault="0034522A" w:rsidP="007051B0">
            <w:pPr>
              <w:pStyle w:val="BodyP3-Note"/>
              <w:spacing w:line="240" w:lineRule="auto"/>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5B7D0073" w14:textId="254284B9" w:rsidR="00E33DD0" w:rsidRPr="007051B0" w:rsidRDefault="00E33DD0" w:rsidP="007051B0">
      <w:pPr>
        <w:spacing w:after="240" w:line="240" w:lineRule="auto"/>
        <w:rPr>
          <w:rFonts w:ascii="Arial" w:hAnsi="Arial" w:cs="Arial"/>
          <w:sz w:val="10"/>
          <w:szCs w:val="10"/>
        </w:rPr>
      </w:pPr>
    </w:p>
    <w:sectPr w:rsidR="00E33DD0" w:rsidRPr="007051B0"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09734" w14:textId="77777777" w:rsidR="00E05B41" w:rsidRDefault="00E05B41" w:rsidP="001645E1">
      <w:pPr>
        <w:spacing w:after="0" w:line="240" w:lineRule="auto"/>
      </w:pPr>
      <w:r>
        <w:separator/>
      </w:r>
    </w:p>
  </w:endnote>
  <w:endnote w:type="continuationSeparator" w:id="0">
    <w:p w14:paraId="36C6B730" w14:textId="77777777" w:rsidR="00E05B41" w:rsidRDefault="00E05B41"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B75FC" w14:textId="77777777" w:rsidR="00E05B41" w:rsidRDefault="00E05B41" w:rsidP="001645E1">
      <w:pPr>
        <w:spacing w:after="0" w:line="240" w:lineRule="auto"/>
      </w:pPr>
      <w:r>
        <w:separator/>
      </w:r>
    </w:p>
  </w:footnote>
  <w:footnote w:type="continuationSeparator" w:id="0">
    <w:p w14:paraId="3483D938" w14:textId="77777777" w:rsidR="00E05B41" w:rsidRDefault="00E05B41"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B213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B0ED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581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3E7C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B86C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2D7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F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54B7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58F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DC8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4F4E37"/>
    <w:multiLevelType w:val="hybridMultilevel"/>
    <w:tmpl w:val="3EDC0930"/>
    <w:lvl w:ilvl="0" w:tplc="A7D2AB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D7B98"/>
    <w:multiLevelType w:val="hybridMultilevel"/>
    <w:tmpl w:val="95820508"/>
    <w:lvl w:ilvl="0" w:tplc="63F640E4">
      <w:start w:val="1"/>
      <w:numFmt w:val="decimal"/>
      <w:pStyle w:val="BodyL1-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3"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7531C7"/>
    <w:multiLevelType w:val="hybridMultilevel"/>
    <w:tmpl w:val="7E1E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26939"/>
    <w:multiLevelType w:val="multilevel"/>
    <w:tmpl w:val="EAB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6"/>
  </w:num>
  <w:num w:numId="4">
    <w:abstractNumId w:val="12"/>
  </w:num>
  <w:num w:numId="5">
    <w:abstractNumId w:val="14"/>
  </w:num>
  <w:num w:numId="6">
    <w:abstractNumId w:val="10"/>
  </w:num>
  <w:num w:numId="7">
    <w:abstractNumId w:val="18"/>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3"/>
  </w:num>
  <w:num w:numId="1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05F31"/>
    <w:rsid w:val="00012517"/>
    <w:rsid w:val="00013677"/>
    <w:rsid w:val="00031C48"/>
    <w:rsid w:val="00034C7A"/>
    <w:rsid w:val="00037825"/>
    <w:rsid w:val="000447B6"/>
    <w:rsid w:val="00046789"/>
    <w:rsid w:val="00066C2E"/>
    <w:rsid w:val="000722A6"/>
    <w:rsid w:val="00081158"/>
    <w:rsid w:val="00082C2B"/>
    <w:rsid w:val="00083024"/>
    <w:rsid w:val="0008417C"/>
    <w:rsid w:val="0008425C"/>
    <w:rsid w:val="00094D05"/>
    <w:rsid w:val="00094FD7"/>
    <w:rsid w:val="000A1287"/>
    <w:rsid w:val="000A1682"/>
    <w:rsid w:val="000B0804"/>
    <w:rsid w:val="000B26E6"/>
    <w:rsid w:val="000C1A4D"/>
    <w:rsid w:val="000C2793"/>
    <w:rsid w:val="000C5F24"/>
    <w:rsid w:val="000C6A50"/>
    <w:rsid w:val="000C7611"/>
    <w:rsid w:val="000D51E9"/>
    <w:rsid w:val="000F3AFC"/>
    <w:rsid w:val="000F4ECA"/>
    <w:rsid w:val="00120146"/>
    <w:rsid w:val="001205CC"/>
    <w:rsid w:val="00120B69"/>
    <w:rsid w:val="00124A74"/>
    <w:rsid w:val="00125915"/>
    <w:rsid w:val="00131FEA"/>
    <w:rsid w:val="00133C83"/>
    <w:rsid w:val="00144560"/>
    <w:rsid w:val="00144745"/>
    <w:rsid w:val="001460A3"/>
    <w:rsid w:val="0015112E"/>
    <w:rsid w:val="00155B15"/>
    <w:rsid w:val="00155D06"/>
    <w:rsid w:val="001645E1"/>
    <w:rsid w:val="001739F0"/>
    <w:rsid w:val="00176D06"/>
    <w:rsid w:val="00192623"/>
    <w:rsid w:val="001968ED"/>
    <w:rsid w:val="00197771"/>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461E"/>
    <w:rsid w:val="00240991"/>
    <w:rsid w:val="00243413"/>
    <w:rsid w:val="00262E1F"/>
    <w:rsid w:val="00265882"/>
    <w:rsid w:val="0026596F"/>
    <w:rsid w:val="00265CC9"/>
    <w:rsid w:val="00275160"/>
    <w:rsid w:val="00283D9B"/>
    <w:rsid w:val="00285370"/>
    <w:rsid w:val="0028537E"/>
    <w:rsid w:val="00287D38"/>
    <w:rsid w:val="00290526"/>
    <w:rsid w:val="00291678"/>
    <w:rsid w:val="00292E56"/>
    <w:rsid w:val="00293824"/>
    <w:rsid w:val="0029437A"/>
    <w:rsid w:val="002A26B7"/>
    <w:rsid w:val="002A4492"/>
    <w:rsid w:val="002A7725"/>
    <w:rsid w:val="002A7CAE"/>
    <w:rsid w:val="002B0637"/>
    <w:rsid w:val="002B2C9F"/>
    <w:rsid w:val="002D7AA8"/>
    <w:rsid w:val="002E0AF5"/>
    <w:rsid w:val="002E64A1"/>
    <w:rsid w:val="002E6C23"/>
    <w:rsid w:val="00300B98"/>
    <w:rsid w:val="003078E6"/>
    <w:rsid w:val="003120C6"/>
    <w:rsid w:val="00313817"/>
    <w:rsid w:val="00316AA6"/>
    <w:rsid w:val="003259DE"/>
    <w:rsid w:val="003265C1"/>
    <w:rsid w:val="003325F6"/>
    <w:rsid w:val="00335667"/>
    <w:rsid w:val="00342A59"/>
    <w:rsid w:val="0034522A"/>
    <w:rsid w:val="003600E1"/>
    <w:rsid w:val="003739EF"/>
    <w:rsid w:val="003749BD"/>
    <w:rsid w:val="00376EC8"/>
    <w:rsid w:val="00384230"/>
    <w:rsid w:val="003858EF"/>
    <w:rsid w:val="003877DB"/>
    <w:rsid w:val="003933B8"/>
    <w:rsid w:val="0039393F"/>
    <w:rsid w:val="003975CA"/>
    <w:rsid w:val="003A7C01"/>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612C4"/>
    <w:rsid w:val="004770E0"/>
    <w:rsid w:val="004801EE"/>
    <w:rsid w:val="00487F37"/>
    <w:rsid w:val="00494E4E"/>
    <w:rsid w:val="004A57F6"/>
    <w:rsid w:val="004B0249"/>
    <w:rsid w:val="004B3988"/>
    <w:rsid w:val="004B3B4E"/>
    <w:rsid w:val="004C633B"/>
    <w:rsid w:val="004E14CC"/>
    <w:rsid w:val="004E49E8"/>
    <w:rsid w:val="00502612"/>
    <w:rsid w:val="005046BC"/>
    <w:rsid w:val="00505CC6"/>
    <w:rsid w:val="005153D5"/>
    <w:rsid w:val="00523C91"/>
    <w:rsid w:val="005343B3"/>
    <w:rsid w:val="00534617"/>
    <w:rsid w:val="005453C3"/>
    <w:rsid w:val="005531BF"/>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D47CD"/>
    <w:rsid w:val="005D4B24"/>
    <w:rsid w:val="005D4F11"/>
    <w:rsid w:val="005E0EA8"/>
    <w:rsid w:val="005E26A9"/>
    <w:rsid w:val="00600EE9"/>
    <w:rsid w:val="0061098F"/>
    <w:rsid w:val="00611DE0"/>
    <w:rsid w:val="00612BEB"/>
    <w:rsid w:val="006143C2"/>
    <w:rsid w:val="00623729"/>
    <w:rsid w:val="00635DC4"/>
    <w:rsid w:val="00636B30"/>
    <w:rsid w:val="00644DDF"/>
    <w:rsid w:val="00647F95"/>
    <w:rsid w:val="00651314"/>
    <w:rsid w:val="00662678"/>
    <w:rsid w:val="00667091"/>
    <w:rsid w:val="00687E39"/>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E1445"/>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724E0"/>
    <w:rsid w:val="00774570"/>
    <w:rsid w:val="00783AE7"/>
    <w:rsid w:val="007900A0"/>
    <w:rsid w:val="00792BEE"/>
    <w:rsid w:val="00793C8D"/>
    <w:rsid w:val="00793E70"/>
    <w:rsid w:val="00796CF8"/>
    <w:rsid w:val="007A2F46"/>
    <w:rsid w:val="007A6EB1"/>
    <w:rsid w:val="007B043F"/>
    <w:rsid w:val="007B46DA"/>
    <w:rsid w:val="007B6AFA"/>
    <w:rsid w:val="007C0072"/>
    <w:rsid w:val="007C02B3"/>
    <w:rsid w:val="007C5793"/>
    <w:rsid w:val="007C5AD3"/>
    <w:rsid w:val="007C713F"/>
    <w:rsid w:val="007C72BA"/>
    <w:rsid w:val="007D2A9E"/>
    <w:rsid w:val="007D3566"/>
    <w:rsid w:val="007D728F"/>
    <w:rsid w:val="007E17E5"/>
    <w:rsid w:val="007F5FA8"/>
    <w:rsid w:val="00801E65"/>
    <w:rsid w:val="008025CD"/>
    <w:rsid w:val="008045AD"/>
    <w:rsid w:val="008131DE"/>
    <w:rsid w:val="00813EC2"/>
    <w:rsid w:val="00826B89"/>
    <w:rsid w:val="0084045C"/>
    <w:rsid w:val="00840F01"/>
    <w:rsid w:val="00842881"/>
    <w:rsid w:val="00846AFB"/>
    <w:rsid w:val="008619FA"/>
    <w:rsid w:val="008635C8"/>
    <w:rsid w:val="0087050C"/>
    <w:rsid w:val="00871D61"/>
    <w:rsid w:val="0087424F"/>
    <w:rsid w:val="008771CC"/>
    <w:rsid w:val="00885B91"/>
    <w:rsid w:val="008974D8"/>
    <w:rsid w:val="008A67CA"/>
    <w:rsid w:val="008B35D5"/>
    <w:rsid w:val="008B4650"/>
    <w:rsid w:val="008C12F0"/>
    <w:rsid w:val="008C3DD6"/>
    <w:rsid w:val="008C4E7D"/>
    <w:rsid w:val="008C5FCB"/>
    <w:rsid w:val="008C777E"/>
    <w:rsid w:val="008D5785"/>
    <w:rsid w:val="008E444C"/>
    <w:rsid w:val="00901363"/>
    <w:rsid w:val="00901469"/>
    <w:rsid w:val="009035A9"/>
    <w:rsid w:val="00906B3A"/>
    <w:rsid w:val="00912BE0"/>
    <w:rsid w:val="00923257"/>
    <w:rsid w:val="0094465E"/>
    <w:rsid w:val="00946770"/>
    <w:rsid w:val="00957AAC"/>
    <w:rsid w:val="0096661A"/>
    <w:rsid w:val="009672D4"/>
    <w:rsid w:val="00982273"/>
    <w:rsid w:val="00982A75"/>
    <w:rsid w:val="0098781A"/>
    <w:rsid w:val="00990814"/>
    <w:rsid w:val="00994081"/>
    <w:rsid w:val="0099481F"/>
    <w:rsid w:val="009A0AB7"/>
    <w:rsid w:val="009B1975"/>
    <w:rsid w:val="009B2EC8"/>
    <w:rsid w:val="009B4693"/>
    <w:rsid w:val="009B7625"/>
    <w:rsid w:val="009C2016"/>
    <w:rsid w:val="009C3153"/>
    <w:rsid w:val="009C7C77"/>
    <w:rsid w:val="009D047D"/>
    <w:rsid w:val="009D3C6F"/>
    <w:rsid w:val="009E734E"/>
    <w:rsid w:val="009E7FBF"/>
    <w:rsid w:val="009F1E63"/>
    <w:rsid w:val="00A01A0A"/>
    <w:rsid w:val="00A06749"/>
    <w:rsid w:val="00A0751B"/>
    <w:rsid w:val="00A2099B"/>
    <w:rsid w:val="00A242CF"/>
    <w:rsid w:val="00A244D1"/>
    <w:rsid w:val="00A26F66"/>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A742C"/>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3440C"/>
    <w:rsid w:val="00B350B7"/>
    <w:rsid w:val="00B40085"/>
    <w:rsid w:val="00B4672F"/>
    <w:rsid w:val="00B47E62"/>
    <w:rsid w:val="00B53953"/>
    <w:rsid w:val="00B6078C"/>
    <w:rsid w:val="00B716E2"/>
    <w:rsid w:val="00B80638"/>
    <w:rsid w:val="00B80DDC"/>
    <w:rsid w:val="00B81FD6"/>
    <w:rsid w:val="00B83475"/>
    <w:rsid w:val="00B93FDD"/>
    <w:rsid w:val="00B9610E"/>
    <w:rsid w:val="00BA1A74"/>
    <w:rsid w:val="00BB1A06"/>
    <w:rsid w:val="00BB2F66"/>
    <w:rsid w:val="00BB47C4"/>
    <w:rsid w:val="00BC218A"/>
    <w:rsid w:val="00BC2419"/>
    <w:rsid w:val="00BC6C41"/>
    <w:rsid w:val="00BD46D8"/>
    <w:rsid w:val="00BF3088"/>
    <w:rsid w:val="00C113CC"/>
    <w:rsid w:val="00C1185F"/>
    <w:rsid w:val="00C14BFC"/>
    <w:rsid w:val="00C20C35"/>
    <w:rsid w:val="00C23C9E"/>
    <w:rsid w:val="00C306FC"/>
    <w:rsid w:val="00C3772C"/>
    <w:rsid w:val="00C440DE"/>
    <w:rsid w:val="00C44493"/>
    <w:rsid w:val="00C53BC0"/>
    <w:rsid w:val="00C6007A"/>
    <w:rsid w:val="00C62F1C"/>
    <w:rsid w:val="00C76941"/>
    <w:rsid w:val="00C805BF"/>
    <w:rsid w:val="00C81277"/>
    <w:rsid w:val="00C834A4"/>
    <w:rsid w:val="00C85AD3"/>
    <w:rsid w:val="00C87804"/>
    <w:rsid w:val="00C916A3"/>
    <w:rsid w:val="00C945E9"/>
    <w:rsid w:val="00C9545B"/>
    <w:rsid w:val="00C96C35"/>
    <w:rsid w:val="00CA27E8"/>
    <w:rsid w:val="00CA57B4"/>
    <w:rsid w:val="00CB1059"/>
    <w:rsid w:val="00CB27E7"/>
    <w:rsid w:val="00CC29B6"/>
    <w:rsid w:val="00CC47FB"/>
    <w:rsid w:val="00CD0AA7"/>
    <w:rsid w:val="00CD109F"/>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3A77"/>
    <w:rsid w:val="00D44EC6"/>
    <w:rsid w:val="00D47ECB"/>
    <w:rsid w:val="00D535AF"/>
    <w:rsid w:val="00D54B2C"/>
    <w:rsid w:val="00D55F64"/>
    <w:rsid w:val="00D575E9"/>
    <w:rsid w:val="00D615FB"/>
    <w:rsid w:val="00D67EA4"/>
    <w:rsid w:val="00D70776"/>
    <w:rsid w:val="00D7192C"/>
    <w:rsid w:val="00D738BE"/>
    <w:rsid w:val="00D75A36"/>
    <w:rsid w:val="00D840D6"/>
    <w:rsid w:val="00D92073"/>
    <w:rsid w:val="00DA5872"/>
    <w:rsid w:val="00DB422F"/>
    <w:rsid w:val="00DD2580"/>
    <w:rsid w:val="00DD2A07"/>
    <w:rsid w:val="00DD7F41"/>
    <w:rsid w:val="00DE2D58"/>
    <w:rsid w:val="00DF4255"/>
    <w:rsid w:val="00E00801"/>
    <w:rsid w:val="00E009D2"/>
    <w:rsid w:val="00E00EAF"/>
    <w:rsid w:val="00E04227"/>
    <w:rsid w:val="00E05B41"/>
    <w:rsid w:val="00E102C8"/>
    <w:rsid w:val="00E1369C"/>
    <w:rsid w:val="00E13E00"/>
    <w:rsid w:val="00E17C05"/>
    <w:rsid w:val="00E273C8"/>
    <w:rsid w:val="00E33DD0"/>
    <w:rsid w:val="00E409DD"/>
    <w:rsid w:val="00E4229D"/>
    <w:rsid w:val="00E50B70"/>
    <w:rsid w:val="00E523C3"/>
    <w:rsid w:val="00E56DAD"/>
    <w:rsid w:val="00E621AA"/>
    <w:rsid w:val="00E75777"/>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90F0B"/>
    <w:rsid w:val="00F916DD"/>
    <w:rsid w:val="00FA1D8C"/>
    <w:rsid w:val="00FA4039"/>
    <w:rsid w:val="00FA4B17"/>
    <w:rsid w:val="00FA72D0"/>
    <w:rsid w:val="00FB1658"/>
    <w:rsid w:val="00FC2D09"/>
    <w:rsid w:val="00FC504D"/>
    <w:rsid w:val="00FC6230"/>
    <w:rsid w:val="00FC6925"/>
    <w:rsid w:val="00FE06BF"/>
    <w:rsid w:val="00FE218B"/>
    <w:rsid w:val="00FE44C2"/>
    <w:rsid w:val="00FE4B90"/>
    <w:rsid w:val="00FE4D79"/>
    <w:rsid w:val="00FF1B4A"/>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FF7A7B"/>
    <w:pPr>
      <w:keepNext/>
      <w:keepLines/>
      <w:framePr w:hSpace="180" w:wrap="around" w:vAnchor="text" w:hAnchor="text" w:y="1"/>
      <w:widowControl w:val="0"/>
      <w:snapToGrid w:val="0"/>
      <w:spacing w:before="180" w:after="0" w:line="300" w:lineRule="exact"/>
      <w:suppressOverlap/>
    </w:pPr>
    <w:rPr>
      <w:rFonts w:ascii="Arial" w:hAnsi="Arial" w:cs="Arial"/>
      <w:bCs/>
      <w:sz w:val="24"/>
      <w:shd w:val="clear" w:color="auto" w:fill="FFFFFF"/>
    </w:rPr>
  </w:style>
  <w:style w:type="paragraph" w:customStyle="1" w:styleId="HeadL1-Number">
    <w:name w:val="HeadL1-Number"/>
    <w:basedOn w:val="BodyP1"/>
    <w:autoRedefine/>
    <w:qFormat/>
    <w:rsid w:val="00612BEB"/>
    <w:pPr>
      <w:framePr w:wrap="around"/>
      <w:spacing w:before="240"/>
      <w:ind w:left="360" w:hanging="360"/>
    </w:pPr>
    <w:rPr>
      <w:b/>
      <w:color w:val="333333"/>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F7A7B"/>
    <w:pPr>
      <w:framePr w:wrap="around"/>
      <w:ind w:right="360"/>
    </w:pPr>
    <w:rPr>
      <w:b/>
      <w:color w:val="0086BF"/>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FF7A7B"/>
    <w:pPr>
      <w:framePr w:wrap="around"/>
      <w:numPr>
        <w:numId w:val="1"/>
      </w:numPr>
      <w:spacing w:before="60"/>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D7192C"/>
    <w:pPr>
      <w:framePr w:wrap="around"/>
      <w:numPr>
        <w:numId w:val="2"/>
      </w:numPr>
      <w:ind w:left="400"/>
    </w:pPr>
  </w:style>
  <w:style w:type="paragraph" w:customStyle="1" w:styleId="BodyL2-Bullet">
    <w:name w:val="BodyL2-Bullet"/>
    <w:basedOn w:val="BodyL1-Bullet"/>
    <w:qFormat/>
    <w:rsid w:val="00D7192C"/>
    <w:pPr>
      <w:framePr w:wrap="around"/>
      <w:ind w:left="720"/>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7"/>
      </w:numPr>
      <w:spacing w:before="240"/>
      <w:ind w:left="288" w:hanging="288"/>
    </w:pPr>
  </w:style>
  <w:style w:type="paragraph" w:customStyle="1" w:styleId="BodyL1-Lowercase">
    <w:name w:val="BodyL1-Lowercase"/>
    <w:basedOn w:val="BodyP1"/>
    <w:qFormat/>
    <w:rsid w:val="006E1445"/>
    <w:pPr>
      <w:framePr w:wrap="around"/>
      <w:numPr>
        <w:numId w:val="18"/>
      </w:numPr>
      <w:ind w:left="576"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us-cert.cisa.gov/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BF536-CC25-8046-AA62-B8F6997A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Brian Murray</cp:lastModifiedBy>
  <cp:revision>3</cp:revision>
  <dcterms:created xsi:type="dcterms:W3CDTF">2020-11-12T13:49:00Z</dcterms:created>
  <dcterms:modified xsi:type="dcterms:W3CDTF">2020-11-12T13:58:00Z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