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327"/>
        <w:tblW w:w="10405" w:type="dxa"/>
        <w:tblLayout w:type="fixed"/>
        <w:tblCellMar>
          <w:left w:w="0" w:type="dxa"/>
          <w:right w:w="0" w:type="dxa"/>
        </w:tblCellMar>
        <w:tblLook w:val="01E0" w:firstRow="1" w:lastRow="1" w:firstColumn="1" w:lastColumn="1" w:noHBand="0" w:noVBand="0"/>
      </w:tblPr>
      <w:tblGrid>
        <w:gridCol w:w="5453"/>
        <w:gridCol w:w="4952"/>
      </w:tblGrid>
      <w:tr w:rsidR="00DF7536" w14:paraId="2F9EE36D" w14:textId="77777777" w:rsidTr="00DF7536">
        <w:trPr>
          <w:trHeight w:hRule="exact" w:val="930"/>
        </w:trPr>
        <w:tc>
          <w:tcPr>
            <w:tcW w:w="5453" w:type="dxa"/>
            <w:tcBorders>
              <w:top w:val="single" w:sz="4" w:space="0" w:color="000000"/>
              <w:left w:val="single" w:sz="4" w:space="0" w:color="000000"/>
              <w:bottom w:val="single" w:sz="4" w:space="0" w:color="000000"/>
              <w:right w:val="single" w:sz="4" w:space="0" w:color="000000"/>
            </w:tcBorders>
          </w:tcPr>
          <w:p w14:paraId="03AF2F2E" w14:textId="77777777" w:rsidR="00DF7536" w:rsidRPr="001F6975" w:rsidRDefault="00DF7536" w:rsidP="00DF7536">
            <w:pPr>
              <w:pStyle w:val="TableParagraph"/>
              <w:spacing w:before="116"/>
              <w:ind w:left="417" w:right="417" w:firstLine="1222"/>
              <w:rPr>
                <w:rFonts w:ascii="Arial"/>
                <w:b/>
                <w:color w:val="C00000"/>
                <w:sz w:val="28"/>
              </w:rPr>
            </w:pPr>
            <w:r>
              <w:rPr>
                <w:rFonts w:ascii="Arial"/>
                <w:b/>
                <w:color w:val="C00000"/>
                <w:sz w:val="28"/>
              </w:rPr>
              <w:t xml:space="preserve">        </w:t>
            </w:r>
            <w:r w:rsidRPr="001F6975">
              <w:rPr>
                <w:rFonts w:ascii="Arial"/>
                <w:b/>
                <w:color w:val="C00000"/>
                <w:sz w:val="28"/>
              </w:rPr>
              <w:t>[Entity]</w:t>
            </w:r>
          </w:p>
          <w:p w14:paraId="72B19980" w14:textId="77777777" w:rsidR="00DF7536" w:rsidRPr="001F6975" w:rsidRDefault="00DF7536" w:rsidP="00DF7536">
            <w:pPr>
              <w:pStyle w:val="TableParagraph"/>
              <w:spacing w:before="116"/>
              <w:ind w:left="417" w:right="417"/>
              <w:rPr>
                <w:rFonts w:ascii="Arial" w:eastAsia="Arial" w:hAnsi="Arial" w:cs="Arial"/>
                <w:sz w:val="28"/>
                <w:szCs w:val="28"/>
              </w:rPr>
            </w:pPr>
            <w:r w:rsidRPr="001F6975">
              <w:rPr>
                <w:rFonts w:ascii="Arial"/>
                <w:b/>
                <w:sz w:val="28"/>
              </w:rPr>
              <w:t>Information Technology</w:t>
            </w:r>
            <w:r w:rsidRPr="001F6975">
              <w:rPr>
                <w:rFonts w:ascii="Arial"/>
                <w:b/>
                <w:spacing w:val="-13"/>
                <w:sz w:val="28"/>
              </w:rPr>
              <w:t xml:space="preserve"> </w:t>
            </w:r>
            <w:r w:rsidRPr="001F6975">
              <w:rPr>
                <w:rFonts w:ascii="Arial"/>
                <w:b/>
                <w:sz w:val="28"/>
              </w:rPr>
              <w:t>Standard</w:t>
            </w:r>
          </w:p>
        </w:tc>
        <w:tc>
          <w:tcPr>
            <w:tcW w:w="4952" w:type="dxa"/>
            <w:tcBorders>
              <w:top w:val="single" w:sz="4" w:space="0" w:color="000000"/>
              <w:left w:val="single" w:sz="4" w:space="0" w:color="000000"/>
              <w:bottom w:val="single" w:sz="4" w:space="0" w:color="000000"/>
              <w:right w:val="single" w:sz="4" w:space="0" w:color="000000"/>
            </w:tcBorders>
          </w:tcPr>
          <w:p w14:paraId="225AC0A2" w14:textId="77777777" w:rsidR="00DF7536" w:rsidRPr="001F6975" w:rsidRDefault="00DF7536" w:rsidP="00DF7536">
            <w:pPr>
              <w:pStyle w:val="TableParagraph"/>
              <w:spacing w:before="11"/>
              <w:rPr>
                <w:rFonts w:ascii="Arial" w:eastAsia="Arial" w:hAnsi="Arial" w:cs="Arial"/>
                <w:sz w:val="25"/>
                <w:szCs w:val="25"/>
              </w:rPr>
            </w:pPr>
          </w:p>
          <w:p w14:paraId="0E9CC785" w14:textId="77777777" w:rsidR="00DF7536" w:rsidRPr="001F6975" w:rsidRDefault="00DF7536" w:rsidP="00DF7536">
            <w:pPr>
              <w:pStyle w:val="TableParagraph"/>
              <w:ind w:left="103"/>
              <w:rPr>
                <w:rFonts w:ascii="Arial" w:eastAsia="Arial" w:hAnsi="Arial" w:cs="Arial"/>
                <w:sz w:val="24"/>
                <w:szCs w:val="24"/>
              </w:rPr>
            </w:pPr>
            <w:r w:rsidRPr="001F6975">
              <w:rPr>
                <w:rFonts w:ascii="Arial"/>
                <w:b/>
                <w:sz w:val="24"/>
              </w:rPr>
              <w:t>No:</w:t>
            </w:r>
            <w:r w:rsidRPr="001F6975">
              <w:rPr>
                <w:rFonts w:ascii="Arial"/>
                <w:b/>
                <w:spacing w:val="-5"/>
                <w:sz w:val="24"/>
              </w:rPr>
              <w:t xml:space="preserve"> </w:t>
            </w:r>
          </w:p>
        </w:tc>
      </w:tr>
      <w:tr w:rsidR="00DF7536" w14:paraId="23125327" w14:textId="77777777" w:rsidTr="00DF7536">
        <w:trPr>
          <w:trHeight w:hRule="exact" w:val="652"/>
        </w:trPr>
        <w:tc>
          <w:tcPr>
            <w:tcW w:w="5453" w:type="dxa"/>
            <w:vMerge w:val="restart"/>
            <w:tcBorders>
              <w:top w:val="single" w:sz="4" w:space="0" w:color="000000"/>
              <w:left w:val="single" w:sz="4" w:space="0" w:color="000000"/>
              <w:right w:val="single" w:sz="4" w:space="0" w:color="000000"/>
            </w:tcBorders>
          </w:tcPr>
          <w:p w14:paraId="7D87A995" w14:textId="77777777" w:rsidR="00DF7536" w:rsidRPr="001F6975" w:rsidRDefault="00DF7536" w:rsidP="00DF7536">
            <w:pPr>
              <w:pStyle w:val="TableParagraph"/>
              <w:spacing w:before="7"/>
              <w:rPr>
                <w:rFonts w:ascii="Arial" w:eastAsia="Arial" w:hAnsi="Arial" w:cs="Arial"/>
                <w:sz w:val="23"/>
                <w:szCs w:val="23"/>
              </w:rPr>
            </w:pPr>
          </w:p>
          <w:p w14:paraId="5881A2ED" w14:textId="77777777" w:rsidR="00DF7536" w:rsidRPr="001F6975" w:rsidRDefault="00DF7536" w:rsidP="00DF7536">
            <w:pPr>
              <w:pStyle w:val="TableParagraph"/>
              <w:ind w:left="2"/>
              <w:jc w:val="center"/>
              <w:rPr>
                <w:rFonts w:ascii="Arial" w:eastAsia="Arial" w:hAnsi="Arial" w:cs="Arial"/>
                <w:sz w:val="24"/>
                <w:szCs w:val="24"/>
              </w:rPr>
            </w:pPr>
            <w:r w:rsidRPr="001F6975">
              <w:rPr>
                <w:rFonts w:ascii="Arial"/>
                <w:b/>
                <w:sz w:val="24"/>
              </w:rPr>
              <w:t>IT</w:t>
            </w:r>
            <w:r w:rsidRPr="001F6975">
              <w:rPr>
                <w:rFonts w:ascii="Arial"/>
                <w:b/>
                <w:spacing w:val="1"/>
                <w:sz w:val="24"/>
              </w:rPr>
              <w:t xml:space="preserve"> </w:t>
            </w:r>
            <w:r w:rsidRPr="001F6975">
              <w:rPr>
                <w:rFonts w:ascii="Arial"/>
                <w:b/>
                <w:sz w:val="24"/>
              </w:rPr>
              <w:t>Standard</w:t>
            </w:r>
            <w:r w:rsidRPr="001F6975">
              <w:rPr>
                <w:rFonts w:ascii="Arial"/>
                <w:sz w:val="24"/>
              </w:rPr>
              <w:t>:</w:t>
            </w:r>
          </w:p>
          <w:p w14:paraId="00544A39" w14:textId="77777777" w:rsidR="00DF7536" w:rsidRPr="001F6975" w:rsidRDefault="00DF7536" w:rsidP="00DF7536">
            <w:pPr>
              <w:pStyle w:val="TableParagraph"/>
              <w:spacing w:before="2"/>
              <w:rPr>
                <w:rFonts w:ascii="Arial" w:eastAsia="Arial" w:hAnsi="Arial" w:cs="Arial"/>
                <w:sz w:val="24"/>
                <w:szCs w:val="24"/>
              </w:rPr>
            </w:pPr>
          </w:p>
          <w:p w14:paraId="3CB0244E" w14:textId="7709F4B8" w:rsidR="00DF7536" w:rsidRPr="00DF7536" w:rsidRDefault="00DF7536" w:rsidP="00DF7536">
            <w:pPr>
              <w:pStyle w:val="TableParagraph"/>
              <w:ind w:left="715" w:right="707"/>
              <w:jc w:val="center"/>
              <w:rPr>
                <w:rFonts w:ascii="Arial" w:eastAsia="Arial" w:hAnsi="Arial" w:cs="Arial"/>
                <w:sz w:val="28"/>
                <w:szCs w:val="28"/>
              </w:rPr>
            </w:pPr>
            <w:r w:rsidRPr="00DF7536">
              <w:rPr>
                <w:rFonts w:ascii="Arial" w:hAnsi="Arial" w:cs="Arial"/>
                <w:b/>
                <w:sz w:val="28"/>
                <w:szCs w:val="28"/>
              </w:rPr>
              <w:t>Continuing Professional Education Requirements for Information Security Officers/Designated Security Representatives</w:t>
            </w:r>
          </w:p>
        </w:tc>
        <w:tc>
          <w:tcPr>
            <w:tcW w:w="4952" w:type="dxa"/>
            <w:tcBorders>
              <w:top w:val="single" w:sz="4" w:space="0" w:color="000000"/>
              <w:left w:val="single" w:sz="4" w:space="0" w:color="000000"/>
              <w:bottom w:val="single" w:sz="4" w:space="0" w:color="000000"/>
              <w:right w:val="single" w:sz="4" w:space="0" w:color="000000"/>
            </w:tcBorders>
          </w:tcPr>
          <w:p w14:paraId="4C6D95A2" w14:textId="77777777" w:rsidR="00DF7536" w:rsidRPr="001F6975" w:rsidRDefault="00DF7536" w:rsidP="00DF7536">
            <w:pPr>
              <w:pStyle w:val="TableParagraph"/>
              <w:spacing w:before="166"/>
              <w:ind w:left="103"/>
              <w:rPr>
                <w:rFonts w:ascii="Arial" w:eastAsia="Arial" w:hAnsi="Arial" w:cs="Arial"/>
                <w:sz w:val="24"/>
                <w:szCs w:val="24"/>
              </w:rPr>
            </w:pPr>
            <w:r w:rsidRPr="001F6975">
              <w:rPr>
                <w:rFonts w:ascii="Arial"/>
                <w:b/>
                <w:sz w:val="24"/>
              </w:rPr>
              <w:t>Updated:</w:t>
            </w:r>
            <w:r w:rsidRPr="001F6975">
              <w:rPr>
                <w:rFonts w:ascii="Arial"/>
                <w:b/>
                <w:spacing w:val="-3"/>
                <w:sz w:val="24"/>
              </w:rPr>
              <w:t xml:space="preserve"> </w:t>
            </w:r>
          </w:p>
        </w:tc>
      </w:tr>
      <w:tr w:rsidR="00DF7536" w14:paraId="39E1A712" w14:textId="77777777" w:rsidTr="00DF7536">
        <w:trPr>
          <w:trHeight w:hRule="exact" w:val="1827"/>
        </w:trPr>
        <w:tc>
          <w:tcPr>
            <w:tcW w:w="5453" w:type="dxa"/>
            <w:vMerge/>
            <w:tcBorders>
              <w:left w:val="single" w:sz="4" w:space="0" w:color="000000"/>
              <w:bottom w:val="single" w:sz="4" w:space="0" w:color="000000"/>
              <w:right w:val="single" w:sz="4" w:space="0" w:color="000000"/>
            </w:tcBorders>
          </w:tcPr>
          <w:p w14:paraId="110CB6D8" w14:textId="77777777" w:rsidR="00DF7536" w:rsidRPr="001F6975" w:rsidRDefault="00DF7536" w:rsidP="00DF7536"/>
        </w:tc>
        <w:tc>
          <w:tcPr>
            <w:tcW w:w="4952" w:type="dxa"/>
            <w:tcBorders>
              <w:top w:val="single" w:sz="4" w:space="0" w:color="000000"/>
              <w:left w:val="single" w:sz="4" w:space="0" w:color="000000"/>
              <w:bottom w:val="single" w:sz="4" w:space="0" w:color="000000"/>
              <w:right w:val="single" w:sz="4" w:space="0" w:color="000000"/>
            </w:tcBorders>
          </w:tcPr>
          <w:p w14:paraId="2FCF2E5F" w14:textId="77777777" w:rsidR="00DF7536" w:rsidRPr="001F6975" w:rsidRDefault="00DF7536" w:rsidP="00DF7536">
            <w:pPr>
              <w:pStyle w:val="TableParagraph"/>
              <w:spacing w:before="115"/>
              <w:ind w:left="103" w:right="721"/>
              <w:rPr>
                <w:rFonts w:ascii="Arial" w:eastAsia="Arial" w:hAnsi="Arial" w:cs="Arial"/>
                <w:sz w:val="24"/>
                <w:szCs w:val="24"/>
              </w:rPr>
            </w:pPr>
            <w:r w:rsidRPr="001F6975">
              <w:rPr>
                <w:rFonts w:ascii="Arial"/>
                <w:b/>
                <w:sz w:val="24"/>
              </w:rPr>
              <w:t xml:space="preserve">Issued </w:t>
            </w:r>
            <w:r w:rsidRPr="001F6975">
              <w:rPr>
                <w:rFonts w:ascii="Arial"/>
                <w:b/>
                <w:spacing w:val="-3"/>
                <w:sz w:val="24"/>
              </w:rPr>
              <w:t xml:space="preserve">By: </w:t>
            </w:r>
          </w:p>
          <w:p w14:paraId="3A32CB4D" w14:textId="77777777" w:rsidR="00DF7536" w:rsidRPr="001F6975" w:rsidRDefault="00DF7536" w:rsidP="00DF7536">
            <w:pPr>
              <w:pStyle w:val="TableParagraph"/>
              <w:rPr>
                <w:rFonts w:ascii="Arial" w:eastAsia="Arial" w:hAnsi="Arial" w:cs="Arial"/>
                <w:sz w:val="24"/>
                <w:szCs w:val="24"/>
              </w:rPr>
            </w:pPr>
          </w:p>
          <w:p w14:paraId="49AE2C2D" w14:textId="77777777" w:rsidR="00DF7536" w:rsidRPr="001F6975" w:rsidRDefault="00DF7536" w:rsidP="00DF7536">
            <w:pPr>
              <w:pStyle w:val="TableParagraph"/>
              <w:ind w:left="103" w:right="536"/>
              <w:rPr>
                <w:rFonts w:ascii="Arial" w:eastAsia="Arial" w:hAnsi="Arial" w:cs="Arial"/>
                <w:sz w:val="24"/>
                <w:szCs w:val="24"/>
              </w:rPr>
            </w:pPr>
            <w:r w:rsidRPr="001F6975">
              <w:rPr>
                <w:rFonts w:ascii="Arial"/>
                <w:b/>
                <w:sz w:val="24"/>
              </w:rPr>
              <w:t xml:space="preserve">Owner: </w:t>
            </w:r>
          </w:p>
        </w:tc>
      </w:tr>
    </w:tbl>
    <w:p w14:paraId="3088EABC" w14:textId="29F8D27A" w:rsidR="00FD26A2" w:rsidRPr="009A309F" w:rsidRDefault="00FD26A2" w:rsidP="009A309F">
      <w:pPr>
        <w:spacing w:after="0" w:line="240" w:lineRule="auto"/>
        <w:rPr>
          <w:rFonts w:ascii="Arial" w:hAnsi="Arial" w:cs="Arial"/>
        </w:rPr>
      </w:pPr>
    </w:p>
    <w:p w14:paraId="0FA1F94E" w14:textId="77777777" w:rsidR="00FD26A2" w:rsidRPr="00DF7536" w:rsidRDefault="003A60BF" w:rsidP="00DF7536">
      <w:pPr>
        <w:pStyle w:val="Heading1"/>
        <w:rPr>
          <w:color w:val="auto"/>
        </w:rPr>
      </w:pPr>
      <w:r w:rsidRPr="00DF7536">
        <w:rPr>
          <w:color w:val="auto"/>
        </w:rPr>
        <w:t>1.0 Purpose and Benefits</w:t>
      </w:r>
    </w:p>
    <w:p w14:paraId="53E5D1FE" w14:textId="1954F774" w:rsidR="00A96665" w:rsidRDefault="00A96665" w:rsidP="00115565">
      <w:pPr>
        <w:spacing w:line="240" w:lineRule="auto"/>
        <w:ind w:right="446"/>
        <w:jc w:val="both"/>
        <w:rPr>
          <w:rFonts w:ascii="Arial" w:hAnsi="Arial" w:cs="Arial"/>
          <w:sz w:val="24"/>
          <w:szCs w:val="24"/>
        </w:rPr>
      </w:pPr>
      <w:r w:rsidRPr="00A96665">
        <w:rPr>
          <w:rFonts w:ascii="Arial" w:hAnsi="Arial" w:cs="Arial"/>
          <w:sz w:val="24"/>
          <w:szCs w:val="24"/>
        </w:rPr>
        <w:t>The purpose of this standard is to outline the minimum requirements for continuing professional education (CPE) for members of the workforce who are serving in the role of Information Security Officer (ISO) or designated security representative for a</w:t>
      </w:r>
      <w:r w:rsidR="00893720">
        <w:rPr>
          <w:rFonts w:ascii="Arial" w:hAnsi="Arial" w:cs="Arial"/>
          <w:sz w:val="24"/>
          <w:szCs w:val="24"/>
        </w:rPr>
        <w:t>n organization.</w:t>
      </w:r>
    </w:p>
    <w:p w14:paraId="32B5E101" w14:textId="77777777" w:rsidR="00CF278D" w:rsidRPr="00D62A1C" w:rsidRDefault="00A96665" w:rsidP="00115565">
      <w:pPr>
        <w:spacing w:line="240" w:lineRule="auto"/>
        <w:ind w:right="446"/>
        <w:jc w:val="both"/>
        <w:rPr>
          <w:rFonts w:ascii="Arial" w:hAnsi="Arial" w:cs="Arial"/>
          <w:sz w:val="24"/>
          <w:szCs w:val="24"/>
        </w:rPr>
      </w:pPr>
      <w:r w:rsidRPr="00A96665">
        <w:rPr>
          <w:rFonts w:ascii="Arial" w:hAnsi="Arial" w:cs="Arial"/>
          <w:sz w:val="24"/>
          <w:szCs w:val="24"/>
        </w:rPr>
        <w:t xml:space="preserve">The requirement of CPE credits helps assure that these individuals stay current in this rapidly evolving field and maintain their breadth of knowledge.  </w:t>
      </w:r>
    </w:p>
    <w:p w14:paraId="0685B424" w14:textId="77777777" w:rsidR="00FD26A2" w:rsidRPr="00DF7536" w:rsidRDefault="00FD26A2" w:rsidP="00DF7536">
      <w:pPr>
        <w:pStyle w:val="Heading1"/>
        <w:rPr>
          <w:color w:val="auto"/>
        </w:rPr>
      </w:pPr>
      <w:r w:rsidRPr="00DF7536">
        <w:rPr>
          <w:color w:val="auto"/>
        </w:rPr>
        <w:t xml:space="preserve">2.0 </w:t>
      </w:r>
      <w:r w:rsidR="003A60BF" w:rsidRPr="00DF7536">
        <w:rPr>
          <w:color w:val="auto"/>
        </w:rPr>
        <w:t>Authority</w:t>
      </w:r>
    </w:p>
    <w:p w14:paraId="1BB77AAA" w14:textId="3084B647" w:rsidR="00975378" w:rsidRPr="00605AF8" w:rsidRDefault="00893720" w:rsidP="00756713">
      <w:pPr>
        <w:spacing w:line="240" w:lineRule="auto"/>
        <w:ind w:right="450"/>
        <w:jc w:val="both"/>
        <w:rPr>
          <w:rFonts w:ascii="Arial" w:hAnsi="Arial" w:cs="Arial"/>
          <w:i/>
          <w:iCs/>
          <w:color w:val="C00000"/>
          <w:sz w:val="24"/>
          <w:szCs w:val="24"/>
        </w:rPr>
      </w:pPr>
      <w:r w:rsidRPr="00605AF8">
        <w:rPr>
          <w:rFonts w:ascii="Arial" w:hAnsi="Arial" w:cs="Arial"/>
          <w:i/>
          <w:iCs/>
          <w:color w:val="C00000"/>
          <w:sz w:val="24"/>
          <w:szCs w:val="24"/>
        </w:rPr>
        <w:t>[Organization information]</w:t>
      </w:r>
    </w:p>
    <w:p w14:paraId="400971EF" w14:textId="77777777" w:rsidR="00FD26A2" w:rsidRPr="00DF7536" w:rsidRDefault="00FD26A2" w:rsidP="00DF7536">
      <w:pPr>
        <w:pStyle w:val="Heading1"/>
        <w:rPr>
          <w:color w:val="auto"/>
        </w:rPr>
      </w:pPr>
      <w:r w:rsidRPr="00DF7536">
        <w:rPr>
          <w:color w:val="auto"/>
        </w:rPr>
        <w:t>3.0 Scope</w:t>
      </w:r>
    </w:p>
    <w:p w14:paraId="4564A515" w14:textId="19F41459" w:rsidR="00A96665" w:rsidRPr="00115565" w:rsidRDefault="00A96665" w:rsidP="00115565">
      <w:pPr>
        <w:keepNext/>
        <w:keepLines/>
        <w:spacing w:line="240" w:lineRule="auto"/>
        <w:ind w:right="446"/>
        <w:jc w:val="both"/>
        <w:rPr>
          <w:rFonts w:ascii="Arial" w:hAnsi="Arial" w:cs="Arial"/>
          <w:b/>
          <w:sz w:val="24"/>
          <w:szCs w:val="24"/>
        </w:rPr>
      </w:pPr>
      <w:r w:rsidRPr="00115565">
        <w:rPr>
          <w:rFonts w:ascii="Arial" w:hAnsi="Arial" w:cs="Arial"/>
          <w:sz w:val="24"/>
          <w:szCs w:val="24"/>
        </w:rPr>
        <w:t xml:space="preserve">This standard applies to members of the </w:t>
      </w:r>
      <w:r w:rsidR="00605AF8">
        <w:rPr>
          <w:rFonts w:ascii="Arial" w:hAnsi="Arial" w:cs="Arial"/>
          <w:sz w:val="24"/>
          <w:szCs w:val="24"/>
        </w:rPr>
        <w:t xml:space="preserve">information security </w:t>
      </w:r>
      <w:r w:rsidRPr="00115565">
        <w:rPr>
          <w:rFonts w:ascii="Arial" w:hAnsi="Arial" w:cs="Arial"/>
          <w:sz w:val="24"/>
          <w:szCs w:val="24"/>
        </w:rPr>
        <w:t>workforce who have been designated as the ISO or designated security representatives for an</w:t>
      </w:r>
      <w:r w:rsidR="00605AF8">
        <w:rPr>
          <w:rFonts w:ascii="Arial" w:hAnsi="Arial" w:cs="Arial"/>
          <w:sz w:val="24"/>
          <w:szCs w:val="24"/>
        </w:rPr>
        <w:t xml:space="preserve"> entity</w:t>
      </w:r>
      <w:r w:rsidRPr="00115565">
        <w:rPr>
          <w:rFonts w:ascii="Arial" w:hAnsi="Arial" w:cs="Arial"/>
          <w:sz w:val="24"/>
          <w:szCs w:val="24"/>
        </w:rPr>
        <w:t xml:space="preserve">.  This includes those within an information security business unit who fulfill the functional responsibilities of the ISO as outlined in the </w:t>
      </w:r>
      <w:r w:rsidRPr="00DF7536">
        <w:rPr>
          <w:rFonts w:ascii="Arial" w:hAnsi="Arial" w:cs="Arial"/>
          <w:sz w:val="24"/>
          <w:szCs w:val="24"/>
        </w:rPr>
        <w:t>Information Security Policy</w:t>
      </w:r>
      <w:r w:rsidRPr="00115565">
        <w:rPr>
          <w:rFonts w:ascii="Arial" w:hAnsi="Arial" w:cs="Arial"/>
          <w:sz w:val="24"/>
          <w:szCs w:val="24"/>
        </w:rPr>
        <w:t xml:space="preserve"> and is not intended to include support staff.</w:t>
      </w:r>
    </w:p>
    <w:p w14:paraId="411DE681" w14:textId="77777777" w:rsidR="00FD26A2" w:rsidRPr="00DF7536" w:rsidRDefault="00FD26A2" w:rsidP="00DF7536">
      <w:pPr>
        <w:pStyle w:val="Heading1"/>
        <w:rPr>
          <w:color w:val="auto"/>
        </w:rPr>
      </w:pPr>
      <w:r w:rsidRPr="00DF7536">
        <w:rPr>
          <w:color w:val="auto"/>
        </w:rPr>
        <w:t xml:space="preserve">4.0 </w:t>
      </w:r>
      <w:r w:rsidR="00C23014" w:rsidRPr="00DF7536">
        <w:rPr>
          <w:color w:val="auto"/>
        </w:rPr>
        <w:t>Information</w:t>
      </w:r>
      <w:r w:rsidRPr="00DF7536">
        <w:rPr>
          <w:color w:val="auto"/>
        </w:rPr>
        <w:t xml:space="preserve"> Statement</w:t>
      </w:r>
    </w:p>
    <w:p w14:paraId="3320AE78" w14:textId="1A58D790" w:rsidR="00A96665" w:rsidRPr="00115565" w:rsidRDefault="00A96665" w:rsidP="00115565">
      <w:pPr>
        <w:spacing w:line="240" w:lineRule="auto"/>
        <w:ind w:right="446"/>
        <w:jc w:val="both"/>
        <w:rPr>
          <w:rFonts w:ascii="Arial" w:hAnsi="Arial" w:cs="Arial"/>
          <w:sz w:val="24"/>
          <w:szCs w:val="24"/>
        </w:rPr>
      </w:pPr>
      <w:r w:rsidRPr="00115565">
        <w:rPr>
          <w:rFonts w:ascii="Arial" w:hAnsi="Arial" w:cs="Arial"/>
          <w:sz w:val="24"/>
          <w:szCs w:val="24"/>
        </w:rPr>
        <w:t xml:space="preserve">Due to the dynamic nature of information technology and the need to maintain an adequate level of current knowledge and proficiency in information security, a minimum of </w:t>
      </w:r>
      <w:r w:rsidR="003140A8" w:rsidRPr="003140A8">
        <w:rPr>
          <w:rFonts w:ascii="Arial" w:hAnsi="Arial" w:cs="Arial"/>
          <w:color w:val="C00000"/>
          <w:sz w:val="24"/>
          <w:szCs w:val="24"/>
        </w:rPr>
        <w:t>[CPE certification defined]</w:t>
      </w:r>
      <w:r w:rsidRPr="003140A8">
        <w:rPr>
          <w:rFonts w:ascii="Arial" w:hAnsi="Arial" w:cs="Arial"/>
          <w:color w:val="C00000"/>
          <w:sz w:val="24"/>
          <w:szCs w:val="24"/>
        </w:rPr>
        <w:t xml:space="preserve"> </w:t>
      </w:r>
      <w:r w:rsidRPr="00115565">
        <w:rPr>
          <w:rFonts w:ascii="Arial" w:hAnsi="Arial" w:cs="Arial"/>
          <w:sz w:val="24"/>
          <w:szCs w:val="24"/>
        </w:rPr>
        <w:t>hours of Continuing Professional Education (CPE) credits must be completed annually. The CPEs must be directly related to information systems security. The</w:t>
      </w:r>
      <w:r w:rsidR="00605AF8">
        <w:rPr>
          <w:rFonts w:ascii="Arial" w:hAnsi="Arial" w:cs="Arial"/>
          <w:sz w:val="24"/>
          <w:szCs w:val="24"/>
        </w:rPr>
        <w:t xml:space="preserve"> entity</w:t>
      </w:r>
      <w:r w:rsidRPr="00893720">
        <w:rPr>
          <w:rFonts w:ascii="Arial" w:hAnsi="Arial" w:cs="Arial"/>
          <w:color w:val="C00000"/>
          <w:sz w:val="24"/>
          <w:szCs w:val="24"/>
        </w:rPr>
        <w:t xml:space="preserve"> </w:t>
      </w:r>
      <w:r w:rsidRPr="00115565">
        <w:rPr>
          <w:rFonts w:ascii="Arial" w:hAnsi="Arial" w:cs="Arial"/>
          <w:sz w:val="24"/>
          <w:szCs w:val="24"/>
        </w:rPr>
        <w:t xml:space="preserve">will provide the opportunity for the ISO/designated security representative to earn the required CPEs annually. </w:t>
      </w:r>
    </w:p>
    <w:p w14:paraId="07D1EFA3" w14:textId="77777777" w:rsidR="00A96665" w:rsidRPr="00115565" w:rsidRDefault="00A96665" w:rsidP="00115565">
      <w:pPr>
        <w:spacing w:line="240" w:lineRule="auto"/>
        <w:ind w:right="446"/>
        <w:jc w:val="both"/>
        <w:rPr>
          <w:rFonts w:ascii="Arial" w:hAnsi="Arial" w:cs="Arial"/>
          <w:sz w:val="24"/>
          <w:szCs w:val="24"/>
        </w:rPr>
      </w:pPr>
      <w:r w:rsidRPr="00115565">
        <w:rPr>
          <w:rFonts w:ascii="Arial" w:hAnsi="Arial" w:cs="Arial"/>
          <w:sz w:val="24"/>
          <w:szCs w:val="24"/>
        </w:rPr>
        <w:t>Criteria for qualifying the activities for CPE credits will be based on ISACA and ISC2 guidelines.  In cases where there is a discrepancy between these guidelines, the lesser requirements apply.</w:t>
      </w:r>
    </w:p>
    <w:p w14:paraId="1BE302FA" w14:textId="77777777" w:rsidR="00A96665" w:rsidRPr="00A96665" w:rsidRDefault="00A96665" w:rsidP="00115565">
      <w:pPr>
        <w:spacing w:line="240" w:lineRule="auto"/>
        <w:ind w:right="446"/>
        <w:jc w:val="both"/>
        <w:rPr>
          <w:rFonts w:ascii="Arial" w:hAnsi="Arial" w:cs="Arial"/>
          <w:sz w:val="24"/>
          <w:szCs w:val="24"/>
        </w:rPr>
      </w:pPr>
      <w:r w:rsidRPr="00A96665">
        <w:rPr>
          <w:rFonts w:ascii="Arial" w:hAnsi="Arial" w:cs="Arial"/>
          <w:sz w:val="24"/>
          <w:szCs w:val="24"/>
        </w:rPr>
        <w:t xml:space="preserve">The annual time period to earn CPE credits will coincide with the calendar year (January 1 to December 31). An individual’s cycle will begin the January following appointment to the ISO/designated security representative position. Credits must be earned during </w:t>
      </w:r>
      <w:r w:rsidRPr="00A96665">
        <w:rPr>
          <w:rFonts w:ascii="Arial" w:hAnsi="Arial" w:cs="Arial"/>
          <w:sz w:val="24"/>
          <w:szCs w:val="24"/>
        </w:rPr>
        <w:lastRenderedPageBreak/>
        <w:t>the current year to qualify and may not be carried forward or backward from year to year.</w:t>
      </w:r>
    </w:p>
    <w:p w14:paraId="6EF60496" w14:textId="77777777" w:rsidR="00A96665" w:rsidRPr="00A96665" w:rsidRDefault="00A96665" w:rsidP="00115565">
      <w:pPr>
        <w:spacing w:after="120" w:line="240" w:lineRule="auto"/>
        <w:ind w:right="446"/>
        <w:jc w:val="both"/>
        <w:rPr>
          <w:rFonts w:ascii="Arial" w:hAnsi="Arial" w:cs="Arial"/>
          <w:sz w:val="24"/>
          <w:szCs w:val="24"/>
        </w:rPr>
      </w:pPr>
      <w:r w:rsidRPr="00A96665">
        <w:rPr>
          <w:rFonts w:ascii="Arial" w:hAnsi="Arial" w:cs="Arial"/>
          <w:sz w:val="24"/>
          <w:szCs w:val="24"/>
        </w:rPr>
        <w:t>Approved information systems security categories include but are not limited to:</w:t>
      </w:r>
    </w:p>
    <w:p w14:paraId="6F1AF18A"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Access control</w:t>
      </w:r>
    </w:p>
    <w:p w14:paraId="77B12F7E"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Telecommunications and network security</w:t>
      </w:r>
    </w:p>
    <w:p w14:paraId="6377F86C"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Information security governance and risk management practices</w:t>
      </w:r>
    </w:p>
    <w:p w14:paraId="0C82269F"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Software development security</w:t>
      </w:r>
    </w:p>
    <w:p w14:paraId="78105E00"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Cryptography</w:t>
      </w:r>
    </w:p>
    <w:p w14:paraId="26F327B4"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Security architecture and design</w:t>
      </w:r>
    </w:p>
    <w:p w14:paraId="5946E80D"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Operations security</w:t>
      </w:r>
    </w:p>
    <w:p w14:paraId="10411564"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Business continuity and disaster recovery</w:t>
      </w:r>
    </w:p>
    <w:p w14:paraId="2BDE4890"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Law, regulations, compliance and investigation</w:t>
      </w:r>
    </w:p>
    <w:p w14:paraId="09928EBD" w14:textId="77777777" w:rsidR="00A96665" w:rsidRPr="00115565" w:rsidRDefault="00A96665" w:rsidP="00115565">
      <w:pPr>
        <w:pStyle w:val="ListParagraph"/>
        <w:numPr>
          <w:ilvl w:val="0"/>
          <w:numId w:val="35"/>
        </w:numPr>
        <w:spacing w:line="240" w:lineRule="auto"/>
        <w:ind w:right="446"/>
        <w:contextualSpacing w:val="0"/>
        <w:jc w:val="both"/>
        <w:rPr>
          <w:rFonts w:ascii="Arial" w:hAnsi="Arial" w:cs="Arial"/>
          <w:sz w:val="24"/>
          <w:szCs w:val="24"/>
        </w:rPr>
      </w:pPr>
      <w:r w:rsidRPr="00115565">
        <w:rPr>
          <w:rFonts w:ascii="Arial" w:hAnsi="Arial" w:cs="Arial"/>
          <w:sz w:val="24"/>
          <w:szCs w:val="24"/>
        </w:rPr>
        <w:t>Physical (environmental) security</w:t>
      </w:r>
    </w:p>
    <w:p w14:paraId="567A94A4" w14:textId="77777777" w:rsidR="00A96665" w:rsidRPr="00A96665" w:rsidRDefault="00A96665" w:rsidP="00115565">
      <w:pPr>
        <w:spacing w:line="240" w:lineRule="auto"/>
        <w:ind w:right="446"/>
        <w:jc w:val="both"/>
        <w:rPr>
          <w:rFonts w:ascii="Arial" w:hAnsi="Arial" w:cs="Arial"/>
          <w:sz w:val="24"/>
          <w:szCs w:val="24"/>
        </w:rPr>
      </w:pPr>
      <w:r w:rsidRPr="00A96665">
        <w:rPr>
          <w:rFonts w:ascii="Arial" w:hAnsi="Arial" w:cs="Arial"/>
          <w:sz w:val="24"/>
          <w:szCs w:val="24"/>
        </w:rPr>
        <w:t xml:space="preserve">CPE credits are given for related experience outside of normal on-the-job duties. For instance, while time spent independently preparing an information security presentation for a community organization would qualify for CPE credits, an equivalent amount of time spent on the job preparing a staff presentation, other internal publications or events would NOT qualify. </w:t>
      </w:r>
    </w:p>
    <w:p w14:paraId="37A54952" w14:textId="34624653" w:rsidR="00A96665" w:rsidRPr="00A96665" w:rsidRDefault="00A96665" w:rsidP="00115565">
      <w:pPr>
        <w:spacing w:line="240" w:lineRule="auto"/>
        <w:ind w:right="446"/>
        <w:jc w:val="both"/>
        <w:rPr>
          <w:rFonts w:ascii="Arial" w:hAnsi="Arial" w:cs="Arial"/>
          <w:sz w:val="24"/>
          <w:szCs w:val="24"/>
        </w:rPr>
      </w:pPr>
      <w:r w:rsidRPr="00A96665">
        <w:rPr>
          <w:rFonts w:ascii="Arial" w:hAnsi="Arial" w:cs="Arial"/>
          <w:sz w:val="24"/>
          <w:szCs w:val="24"/>
        </w:rPr>
        <w:t>CPE credits are weighted by activity. Below are common categories of activities and the amount of credits earned for each. These activities are not intended to be a complete listing, as many other events such as graduate work in an appropriate academic field, may also qualify.  Typically</w:t>
      </w:r>
      <w:r w:rsidR="00605AF8">
        <w:rPr>
          <w:rFonts w:ascii="Arial" w:hAnsi="Arial" w:cs="Arial"/>
          <w:sz w:val="24"/>
          <w:szCs w:val="24"/>
        </w:rPr>
        <w:t>,</w:t>
      </w:r>
      <w:r w:rsidRPr="00A96665">
        <w:rPr>
          <w:rFonts w:ascii="Arial" w:hAnsi="Arial" w:cs="Arial"/>
          <w:sz w:val="24"/>
          <w:szCs w:val="24"/>
        </w:rPr>
        <w:t xml:space="preserve"> you will earn 1 CPE credit for each hour spent engaged in an educational activity. However, some activities are worth more CPEs, due to the depth of study or ongoing commitment involved. CPE activities include but are not limited to:</w:t>
      </w:r>
    </w:p>
    <w:p w14:paraId="5AFA9E49"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 xml:space="preserve">Earn 1 CPE credit for each hour of attendance at a security educational training course or seminar. </w:t>
      </w:r>
    </w:p>
    <w:p w14:paraId="5B974C01" w14:textId="0E64B5B8"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bookmarkStart w:id="0" w:name="conferences"/>
      <w:bookmarkEnd w:id="0"/>
      <w:r w:rsidRPr="00115565">
        <w:rPr>
          <w:rFonts w:ascii="Arial" w:hAnsi="Arial" w:cs="Arial"/>
          <w:sz w:val="24"/>
          <w:szCs w:val="24"/>
        </w:rPr>
        <w:t xml:space="preserve">Earn 1 CPE credit for each hour of attendance at a security conference. </w:t>
      </w:r>
    </w:p>
    <w:p w14:paraId="564BBB5F" w14:textId="02983BD5"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Earn 1 CPE credit for each hour of attendance at a</w:t>
      </w:r>
      <w:r w:rsidR="00605AF8">
        <w:rPr>
          <w:rFonts w:ascii="Arial" w:hAnsi="Arial" w:cs="Arial"/>
          <w:sz w:val="24"/>
          <w:szCs w:val="24"/>
        </w:rPr>
        <w:t>n</w:t>
      </w:r>
      <w:r w:rsidRPr="00115565">
        <w:rPr>
          <w:rFonts w:ascii="Arial" w:hAnsi="Arial" w:cs="Arial"/>
          <w:sz w:val="24"/>
          <w:szCs w:val="24"/>
        </w:rPr>
        <w:t xml:space="preserve"> information security community of practice meeting or information security workgroup meeting.</w:t>
      </w:r>
    </w:p>
    <w:p w14:paraId="326012C4"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bookmarkStart w:id="1" w:name="association"/>
      <w:bookmarkEnd w:id="1"/>
      <w:r w:rsidRPr="00115565">
        <w:rPr>
          <w:rFonts w:ascii="Arial" w:hAnsi="Arial" w:cs="Arial"/>
          <w:sz w:val="24"/>
          <w:szCs w:val="24"/>
        </w:rPr>
        <w:t>Earn 1 CPE credit for each hour of attendance at a professional security association chapter meeting, such as the International Information Systems Security Certification Consortium (ISC2), Information Systems Security Association (ISSA), Information Systems Audit and Control Association (ISACA), etc.</w:t>
      </w:r>
    </w:p>
    <w:p w14:paraId="2ABCA838"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bookmarkStart w:id="2" w:name="vendor"/>
      <w:bookmarkStart w:id="3" w:name="academic"/>
      <w:bookmarkEnd w:id="2"/>
      <w:bookmarkEnd w:id="3"/>
      <w:r w:rsidRPr="00115565">
        <w:rPr>
          <w:rFonts w:ascii="Arial" w:hAnsi="Arial" w:cs="Arial"/>
          <w:sz w:val="24"/>
          <w:szCs w:val="24"/>
        </w:rPr>
        <w:t xml:space="preserve">Earn 1 CPE credit for each hour of attendance at a higher education academic security class. Credit will only be given on passing the course successfully. </w:t>
      </w:r>
    </w:p>
    <w:p w14:paraId="228E3CF8" w14:textId="3A9FB7F0"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bookmarkStart w:id="4" w:name="training"/>
      <w:bookmarkEnd w:id="4"/>
      <w:r w:rsidRPr="00115565">
        <w:rPr>
          <w:rFonts w:ascii="Arial" w:hAnsi="Arial" w:cs="Arial"/>
          <w:sz w:val="24"/>
          <w:szCs w:val="24"/>
        </w:rPr>
        <w:lastRenderedPageBreak/>
        <w:t xml:space="preserve">Earn CPE credits for preparing courseware, lectures, or training material. The time spent preparing for and delivering each hour of presentation material is valued at 4 CPE credits (e.g., a </w:t>
      </w:r>
      <w:r w:rsidR="00605AF8" w:rsidRPr="00115565">
        <w:rPr>
          <w:rFonts w:ascii="Arial" w:hAnsi="Arial" w:cs="Arial"/>
          <w:sz w:val="24"/>
          <w:szCs w:val="24"/>
        </w:rPr>
        <w:t>one-hour</w:t>
      </w:r>
      <w:r w:rsidRPr="00115565">
        <w:rPr>
          <w:rFonts w:ascii="Arial" w:hAnsi="Arial" w:cs="Arial"/>
          <w:sz w:val="24"/>
          <w:szCs w:val="24"/>
        </w:rPr>
        <w:t xml:space="preserve"> presentation = 4 CPE's, a </w:t>
      </w:r>
      <w:r w:rsidR="00605AF8" w:rsidRPr="00115565">
        <w:rPr>
          <w:rFonts w:ascii="Arial" w:hAnsi="Arial" w:cs="Arial"/>
          <w:sz w:val="24"/>
          <w:szCs w:val="24"/>
        </w:rPr>
        <w:t>two-hour</w:t>
      </w:r>
      <w:r w:rsidRPr="00115565">
        <w:rPr>
          <w:rFonts w:ascii="Arial" w:hAnsi="Arial" w:cs="Arial"/>
          <w:sz w:val="24"/>
          <w:szCs w:val="24"/>
        </w:rPr>
        <w:t xml:space="preserve"> presentation = 8 CPE's). The 4 CPEs for each hour of presentation will only be granted for the initial course, lecture or training presentation, thereafter you will receive 1 CPE for each hour of presentation. </w:t>
      </w:r>
    </w:p>
    <w:p w14:paraId="45C5BAA7"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bookmarkStart w:id="5" w:name="published"/>
      <w:bookmarkEnd w:id="5"/>
      <w:r w:rsidRPr="00115565">
        <w:rPr>
          <w:rFonts w:ascii="Arial" w:hAnsi="Arial" w:cs="Arial"/>
          <w:sz w:val="24"/>
          <w:szCs w:val="24"/>
        </w:rPr>
        <w:t xml:space="preserve">Earn CPE credits for contributing original work to the information systems security profession. First publication of a security related article will earn the author(s) 10 CPE credits. Publication of a security related book will earn 40 CPE credits. </w:t>
      </w:r>
    </w:p>
    <w:p w14:paraId="4D967A39"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bookmarkStart w:id="6" w:name="board"/>
      <w:bookmarkEnd w:id="6"/>
      <w:r w:rsidRPr="00115565">
        <w:rPr>
          <w:rFonts w:ascii="Arial" w:hAnsi="Arial" w:cs="Arial"/>
          <w:sz w:val="24"/>
          <w:szCs w:val="24"/>
        </w:rPr>
        <w:t>Earn up to 12 CPE credits per year, 1 for each month of service on the board of professional security organization, such as ISC2, ISSA, ISACA, etc.</w:t>
      </w:r>
    </w:p>
    <w:p w14:paraId="20DBC994"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 xml:space="preserve">Earn 1 CPE for each month of active participation on a State or national information security workgroup or committee. </w:t>
      </w:r>
    </w:p>
    <w:p w14:paraId="2AD109AF"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bookmarkStart w:id="7" w:name="selfstudy"/>
      <w:bookmarkEnd w:id="7"/>
      <w:r w:rsidRPr="00115565">
        <w:rPr>
          <w:rFonts w:ascii="Arial" w:hAnsi="Arial" w:cs="Arial"/>
          <w:sz w:val="24"/>
          <w:szCs w:val="24"/>
        </w:rPr>
        <w:t>Earn 1 CPE credit for each hour of attendance at security webcasts.</w:t>
      </w:r>
    </w:p>
    <w:p w14:paraId="306D4D07"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Credits can be earned by completing a self-study program or completing computer-based training and the course provider issues a certificate of completion and supplies the number of CPE hours earned for the course. Study material and validated documentation of completion, such as a certificate or diploma, must be retained.</w:t>
      </w:r>
    </w:p>
    <w:p w14:paraId="6C30BFD6"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bookmarkStart w:id="8" w:name="read"/>
      <w:bookmarkEnd w:id="8"/>
      <w:r w:rsidRPr="00115565">
        <w:rPr>
          <w:rFonts w:ascii="Arial" w:hAnsi="Arial" w:cs="Arial"/>
          <w:sz w:val="24"/>
          <w:szCs w:val="24"/>
        </w:rPr>
        <w:t>Reading an information security text will be worth 2 CPE credits. Credit in this category will be limited to one text per year. If audited, the individual should retain proof of possession, such as the actual book, a sales receipt, invoice, library record, etc.</w:t>
      </w:r>
    </w:p>
    <w:p w14:paraId="253C5AB9" w14:textId="77777777" w:rsidR="00A96665" w:rsidRPr="00115565" w:rsidRDefault="00A96665" w:rsidP="009171F4">
      <w:pPr>
        <w:pStyle w:val="ListParagraph"/>
        <w:numPr>
          <w:ilvl w:val="0"/>
          <w:numId w:val="35"/>
        </w:numPr>
        <w:spacing w:after="120" w:line="240" w:lineRule="auto"/>
        <w:ind w:right="446"/>
        <w:contextualSpacing w:val="0"/>
        <w:jc w:val="both"/>
        <w:rPr>
          <w:rFonts w:ascii="Arial" w:hAnsi="Arial" w:cs="Arial"/>
          <w:sz w:val="24"/>
          <w:szCs w:val="24"/>
        </w:rPr>
      </w:pPr>
      <w:r w:rsidRPr="00115565">
        <w:rPr>
          <w:rFonts w:ascii="Arial" w:hAnsi="Arial" w:cs="Arial"/>
          <w:sz w:val="24"/>
          <w:szCs w:val="24"/>
        </w:rPr>
        <w:t xml:space="preserve">Completion and submission of an original information security book review will be worth 3 CPE credits (limited to one text per year). </w:t>
      </w:r>
    </w:p>
    <w:p w14:paraId="177126ED" w14:textId="3596E0E8" w:rsidR="00A96665" w:rsidRDefault="00A96665" w:rsidP="00115565">
      <w:pPr>
        <w:pStyle w:val="ListParagraph"/>
        <w:numPr>
          <w:ilvl w:val="0"/>
          <w:numId w:val="35"/>
        </w:numPr>
        <w:spacing w:line="240" w:lineRule="auto"/>
        <w:ind w:right="446"/>
        <w:contextualSpacing w:val="0"/>
        <w:jc w:val="both"/>
        <w:rPr>
          <w:rFonts w:ascii="Arial" w:hAnsi="Arial" w:cs="Arial"/>
          <w:sz w:val="24"/>
          <w:szCs w:val="24"/>
        </w:rPr>
      </w:pPr>
      <w:bookmarkStart w:id="9" w:name="review"/>
      <w:bookmarkStart w:id="10" w:name="magazine"/>
      <w:bookmarkStart w:id="11" w:name="government"/>
      <w:bookmarkEnd w:id="9"/>
      <w:bookmarkEnd w:id="10"/>
      <w:bookmarkEnd w:id="11"/>
      <w:r w:rsidRPr="00A96665">
        <w:rPr>
          <w:rFonts w:ascii="Arial" w:hAnsi="Arial" w:cs="Arial"/>
          <w:sz w:val="24"/>
          <w:szCs w:val="24"/>
        </w:rPr>
        <w:t>Earn 1 CPE for each hour of attendance at a vendor security product training class or an information security specific sales presentation. Credits for a security sales presentation will be limited to 3 per year.</w:t>
      </w:r>
    </w:p>
    <w:p w14:paraId="783EE790" w14:textId="77777777" w:rsidR="003454F2" w:rsidRPr="00473E19" w:rsidRDefault="003454F2" w:rsidP="00473E19">
      <w:pPr>
        <w:spacing w:line="240" w:lineRule="auto"/>
        <w:ind w:right="446"/>
        <w:jc w:val="both"/>
        <w:rPr>
          <w:rFonts w:ascii="Arial" w:hAnsi="Arial" w:cs="Arial"/>
          <w:sz w:val="24"/>
          <w:szCs w:val="24"/>
        </w:rPr>
      </w:pPr>
    </w:p>
    <w:p w14:paraId="6AEF2305" w14:textId="77777777" w:rsidR="00FD26A2" w:rsidRPr="00DF7536" w:rsidRDefault="00AF069C" w:rsidP="00DF7536">
      <w:pPr>
        <w:pStyle w:val="Heading1"/>
        <w:rPr>
          <w:color w:val="auto"/>
        </w:rPr>
      </w:pPr>
      <w:r w:rsidRPr="00DF7536">
        <w:rPr>
          <w:color w:val="auto"/>
        </w:rPr>
        <w:t>5.0 Compliance</w:t>
      </w:r>
    </w:p>
    <w:p w14:paraId="432897F2" w14:textId="77777777" w:rsidR="003140A8" w:rsidRPr="003140A8" w:rsidRDefault="003140A8" w:rsidP="003140A8">
      <w:pPr>
        <w:spacing w:line="240" w:lineRule="auto"/>
        <w:ind w:right="446"/>
        <w:jc w:val="both"/>
        <w:rPr>
          <w:rFonts w:ascii="Arial" w:hAnsi="Arial" w:cs="Arial"/>
          <w:sz w:val="24"/>
          <w:szCs w:val="24"/>
        </w:rPr>
      </w:pPr>
      <w:r w:rsidRPr="003140A8">
        <w:rPr>
          <w:rFonts w:ascii="Arial" w:hAnsi="Arial" w:cs="Arial"/>
          <w:sz w:val="24"/>
          <w:szCs w:val="24"/>
        </w:rPr>
        <w:t>This policy shall take effect upon publication. Compliance is expected with all enterprise policies and standards. Policies and standards may be amended at any time; compliance with amended policies and standards is expected.</w:t>
      </w:r>
    </w:p>
    <w:p w14:paraId="433B2E88" w14:textId="0759F310" w:rsidR="003454F2" w:rsidRPr="00896333" w:rsidRDefault="003140A8" w:rsidP="003140A8">
      <w:pPr>
        <w:spacing w:line="240" w:lineRule="auto"/>
        <w:ind w:right="446"/>
        <w:jc w:val="both"/>
        <w:rPr>
          <w:rFonts w:ascii="Arial" w:hAnsi="Arial" w:cs="Arial"/>
          <w:sz w:val="24"/>
          <w:szCs w:val="24"/>
        </w:rPr>
      </w:pPr>
      <w:r w:rsidRPr="003140A8">
        <w:rPr>
          <w:rFonts w:ascii="Arial" w:hAnsi="Arial" w:cs="Arial"/>
          <w:sz w:val="24"/>
          <w:szCs w:val="24"/>
        </w:rPr>
        <w:t>If compliance with this standard is not feasible or technically possible, or if deviation from this policy is necessary to support a business function, entities shall request an exception through the Chief Information Security Officer’s exception process.</w:t>
      </w:r>
    </w:p>
    <w:p w14:paraId="35862F1B" w14:textId="77777777" w:rsidR="00FD26A2" w:rsidRPr="00DF7536" w:rsidRDefault="00FD26A2" w:rsidP="00DF7536">
      <w:pPr>
        <w:pStyle w:val="Heading1"/>
        <w:rPr>
          <w:color w:val="auto"/>
        </w:rPr>
      </w:pPr>
      <w:r w:rsidRPr="00DF7536">
        <w:rPr>
          <w:color w:val="auto"/>
        </w:rPr>
        <w:lastRenderedPageBreak/>
        <w:t>6.0 Definitions of Key Terms</w:t>
      </w:r>
    </w:p>
    <w:tbl>
      <w:tblPr>
        <w:tblW w:w="4862" w:type="pct"/>
        <w:tblInd w:w="-1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3150"/>
        <w:gridCol w:w="6204"/>
      </w:tblGrid>
      <w:tr w:rsidR="00DF7536" w:rsidRPr="00446B8D" w14:paraId="7CD4D246" w14:textId="77777777" w:rsidTr="008A5368">
        <w:tc>
          <w:tcPr>
            <w:tcW w:w="1684" w:type="pct"/>
            <w:vAlign w:val="center"/>
          </w:tcPr>
          <w:p w14:paraId="4C6726FC" w14:textId="77777777" w:rsidR="00DF7536" w:rsidRPr="00446B8D" w:rsidRDefault="00DF7536" w:rsidP="008A5368">
            <w:pPr>
              <w:spacing w:before="60" w:after="60" w:line="240" w:lineRule="auto"/>
              <w:ind w:left="45" w:right="135"/>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316" w:type="pct"/>
            <w:vAlign w:val="center"/>
          </w:tcPr>
          <w:p w14:paraId="2C4F64A5" w14:textId="77777777" w:rsidR="00DF7536" w:rsidRPr="00446B8D" w:rsidRDefault="00DF7536" w:rsidP="008A5368">
            <w:pPr>
              <w:spacing w:before="60" w:after="60" w:line="240" w:lineRule="auto"/>
              <w:ind w:left="45" w:right="129"/>
              <w:rPr>
                <w:rFonts w:ascii="Arial" w:hAnsi="Arial" w:cs="Arial"/>
                <w:color w:val="373738"/>
                <w:sz w:val="24"/>
                <w:szCs w:val="24"/>
              </w:rPr>
            </w:pPr>
            <w:r>
              <w:rPr>
                <w:rFonts w:ascii="Arial" w:hAnsi="Arial" w:cs="Arial"/>
                <w:bCs/>
                <w:iCs/>
                <w:color w:val="373738"/>
                <w:sz w:val="24"/>
                <w:szCs w:val="24"/>
              </w:rPr>
              <w:t>Definition</w:t>
            </w:r>
          </w:p>
        </w:tc>
      </w:tr>
      <w:tr w:rsidR="00DF7536" w:rsidRPr="00446B8D" w14:paraId="52B6F82F" w14:textId="77777777" w:rsidTr="008A5368">
        <w:tc>
          <w:tcPr>
            <w:tcW w:w="1684" w:type="pct"/>
          </w:tcPr>
          <w:p w14:paraId="0B93BA73" w14:textId="77777777" w:rsidR="00DF7536" w:rsidRPr="004A1060" w:rsidRDefault="00DF7536" w:rsidP="008A5368">
            <w:pPr>
              <w:spacing w:before="60" w:after="60" w:line="240" w:lineRule="auto"/>
              <w:ind w:left="45" w:right="135"/>
              <w:rPr>
                <w:rFonts w:ascii="Arial" w:hAnsi="Arial" w:cs="Arial"/>
                <w:color w:val="373738"/>
                <w:sz w:val="24"/>
                <w:szCs w:val="24"/>
              </w:rPr>
            </w:pPr>
          </w:p>
        </w:tc>
        <w:tc>
          <w:tcPr>
            <w:tcW w:w="3316" w:type="pct"/>
          </w:tcPr>
          <w:p w14:paraId="3D647A5C" w14:textId="77777777" w:rsidR="00DF7536" w:rsidRPr="00446B8D" w:rsidRDefault="00DF7536" w:rsidP="008A5368">
            <w:pPr>
              <w:spacing w:before="60" w:after="60" w:line="240" w:lineRule="auto"/>
              <w:ind w:left="45" w:right="129"/>
              <w:jc w:val="both"/>
              <w:rPr>
                <w:rFonts w:ascii="Arial" w:hAnsi="Arial" w:cs="Arial"/>
                <w:color w:val="373738"/>
                <w:sz w:val="24"/>
                <w:szCs w:val="24"/>
              </w:rPr>
            </w:pPr>
          </w:p>
        </w:tc>
      </w:tr>
    </w:tbl>
    <w:p w14:paraId="0EC44D4E" w14:textId="0646FCF0" w:rsidR="003454F2" w:rsidRDefault="003454F2" w:rsidP="006264D2">
      <w:pPr>
        <w:spacing w:line="240" w:lineRule="auto"/>
        <w:ind w:right="446"/>
        <w:jc w:val="both"/>
        <w:rPr>
          <w:rFonts w:ascii="Arial" w:hAnsi="Arial" w:cs="Arial"/>
          <w:sz w:val="24"/>
          <w:szCs w:val="24"/>
        </w:rPr>
      </w:pPr>
    </w:p>
    <w:p w14:paraId="1835826C" w14:textId="77777777" w:rsidR="00426882" w:rsidRPr="00DF7536" w:rsidRDefault="00FD26A2" w:rsidP="00DF7536">
      <w:pPr>
        <w:pStyle w:val="Heading1"/>
        <w:rPr>
          <w:color w:val="auto"/>
        </w:rPr>
      </w:pPr>
      <w:r w:rsidRPr="00DF7536">
        <w:rPr>
          <w:color w:val="auto"/>
        </w:rPr>
        <w:t>7.0 Contact Information</w:t>
      </w:r>
    </w:p>
    <w:p w14:paraId="57D927F3"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0ACB04CE" w14:textId="22746CF1" w:rsidR="00E71E67" w:rsidRPr="00AE38D9" w:rsidRDefault="00AE38D9" w:rsidP="00DF1E03">
      <w:pPr>
        <w:spacing w:line="252" w:lineRule="auto"/>
        <w:ind w:right="446"/>
        <w:jc w:val="center"/>
        <w:rPr>
          <w:rFonts w:ascii="Arial" w:hAnsi="Arial" w:cs="Arial"/>
          <w:b/>
          <w:color w:val="C00000"/>
          <w:sz w:val="24"/>
          <w:szCs w:val="24"/>
        </w:rPr>
      </w:pPr>
      <w:r w:rsidRPr="00AE38D9">
        <w:rPr>
          <w:rFonts w:ascii="Arial" w:hAnsi="Arial" w:cs="Arial"/>
          <w:b/>
          <w:color w:val="C00000"/>
          <w:sz w:val="24"/>
          <w:szCs w:val="24"/>
        </w:rPr>
        <w:t>[Entity Address]</w:t>
      </w:r>
    </w:p>
    <w:p w14:paraId="494938DB" w14:textId="77777777" w:rsidR="00FD26A2" w:rsidRPr="00DF7536" w:rsidRDefault="00FD26A2" w:rsidP="00DF7536">
      <w:pPr>
        <w:pStyle w:val="Heading1"/>
        <w:rPr>
          <w:color w:val="auto"/>
        </w:rPr>
      </w:pPr>
      <w:r w:rsidRPr="00DF7536">
        <w:rPr>
          <w:color w:val="auto"/>
        </w:rPr>
        <w:t>8.0 R</w:t>
      </w:r>
      <w:r w:rsidR="00B34139" w:rsidRPr="00DF7536">
        <w:rPr>
          <w:color w:val="auto"/>
        </w:rPr>
        <w:t>evision</w:t>
      </w:r>
      <w:r w:rsidRPr="00DF7536">
        <w:rPr>
          <w:color w:val="auto"/>
        </w:rPr>
        <w:t xml:space="preserve"> History</w:t>
      </w:r>
    </w:p>
    <w:p w14:paraId="1916FA69" w14:textId="77777777" w:rsidR="000D0DD2" w:rsidRDefault="00CA3655" w:rsidP="009171F4">
      <w:pPr>
        <w:keepNext/>
        <w:keepLines/>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standard shall be subject to periodic </w:t>
      </w:r>
      <w:r w:rsidRPr="00D62A1C">
        <w:rPr>
          <w:rFonts w:ascii="Arial" w:hAnsi="Arial" w:cs="Arial"/>
          <w:sz w:val="24"/>
          <w:szCs w:val="24"/>
        </w:rPr>
        <w:t>review</w:t>
      </w:r>
      <w:r>
        <w:rPr>
          <w:rFonts w:ascii="Arial" w:hAnsi="Arial" w:cs="Arial"/>
          <w:sz w:val="24"/>
          <w:szCs w:val="24"/>
        </w:rPr>
        <w:t xml:space="preserve"> </w:t>
      </w:r>
      <w:r w:rsidRPr="00D62A1C">
        <w:rPr>
          <w:rFonts w:ascii="Arial" w:hAnsi="Arial" w:cs="Arial"/>
          <w:sz w:val="24"/>
          <w:szCs w:val="24"/>
        </w:rPr>
        <w:t>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790"/>
        <w:gridCol w:w="5220"/>
        <w:gridCol w:w="2132"/>
      </w:tblGrid>
      <w:tr w:rsidR="001A0541" w:rsidRPr="009171F4" w14:paraId="72D72AB0" w14:textId="77777777" w:rsidTr="00B70E50">
        <w:trPr>
          <w:trHeight w:val="304"/>
        </w:trPr>
        <w:tc>
          <w:tcPr>
            <w:tcW w:w="1790" w:type="dxa"/>
            <w:tcBorders>
              <w:top w:val="single" w:sz="8" w:space="0" w:color="000000"/>
              <w:left w:val="single" w:sz="8" w:space="0" w:color="000000"/>
              <w:bottom w:val="single" w:sz="8" w:space="0" w:color="000000"/>
              <w:right w:val="single" w:sz="8" w:space="0" w:color="000000"/>
            </w:tcBorders>
          </w:tcPr>
          <w:p w14:paraId="2191413F" w14:textId="77777777" w:rsidR="001A0541" w:rsidRPr="009171F4" w:rsidRDefault="001A0541" w:rsidP="00841EC0">
            <w:pPr>
              <w:spacing w:after="0" w:line="240" w:lineRule="auto"/>
              <w:ind w:right="446"/>
              <w:jc w:val="both"/>
              <w:rPr>
                <w:rFonts w:ascii="Arial" w:hAnsi="Arial" w:cs="Arial"/>
                <w:b/>
                <w:sz w:val="24"/>
                <w:szCs w:val="24"/>
              </w:rPr>
            </w:pPr>
            <w:r w:rsidRPr="009171F4">
              <w:rPr>
                <w:rFonts w:ascii="Arial" w:hAnsi="Arial" w:cs="Arial"/>
                <w:b/>
                <w:sz w:val="24"/>
                <w:szCs w:val="24"/>
              </w:rPr>
              <w:t>Date</w:t>
            </w:r>
            <w:r w:rsidRPr="009171F4">
              <w:rPr>
                <w:rFonts w:ascii="Arial" w:hAnsi="Arial" w:cs="Arial"/>
                <w:b/>
                <w:bCs/>
                <w:sz w:val="24"/>
                <w:szCs w:val="24"/>
              </w:rPr>
              <w:t xml:space="preserve"> </w:t>
            </w:r>
          </w:p>
        </w:tc>
        <w:tc>
          <w:tcPr>
            <w:tcW w:w="5220" w:type="dxa"/>
            <w:tcBorders>
              <w:top w:val="single" w:sz="8" w:space="0" w:color="000000"/>
              <w:left w:val="single" w:sz="8" w:space="0" w:color="000000"/>
              <w:bottom w:val="single" w:sz="8" w:space="0" w:color="000000"/>
              <w:right w:val="single" w:sz="8" w:space="0" w:color="000000"/>
            </w:tcBorders>
          </w:tcPr>
          <w:p w14:paraId="5C80E314" w14:textId="77777777" w:rsidR="001A0541" w:rsidRPr="009171F4" w:rsidRDefault="001A0541" w:rsidP="00342A91">
            <w:pPr>
              <w:pStyle w:val="Default"/>
              <w:jc w:val="both"/>
            </w:pPr>
            <w:r w:rsidRPr="009171F4">
              <w:rPr>
                <w:b/>
                <w:bCs/>
              </w:rPr>
              <w:t xml:space="preserve">Description of Change </w:t>
            </w:r>
          </w:p>
        </w:tc>
        <w:tc>
          <w:tcPr>
            <w:tcW w:w="2132" w:type="dxa"/>
            <w:tcBorders>
              <w:top w:val="single" w:sz="8" w:space="0" w:color="000000"/>
              <w:left w:val="single" w:sz="8" w:space="0" w:color="000000"/>
              <w:bottom w:val="single" w:sz="8" w:space="0" w:color="000000"/>
              <w:right w:val="single" w:sz="8" w:space="0" w:color="000000"/>
            </w:tcBorders>
          </w:tcPr>
          <w:p w14:paraId="57946442" w14:textId="77777777" w:rsidR="001A0541" w:rsidRPr="009171F4" w:rsidRDefault="001A0541" w:rsidP="00342A91">
            <w:pPr>
              <w:pStyle w:val="Default"/>
              <w:jc w:val="both"/>
              <w:rPr>
                <w:b/>
                <w:bCs/>
              </w:rPr>
            </w:pPr>
            <w:r w:rsidRPr="009171F4">
              <w:rPr>
                <w:b/>
                <w:bCs/>
              </w:rPr>
              <w:t>Reviewer</w:t>
            </w:r>
          </w:p>
        </w:tc>
      </w:tr>
      <w:tr w:rsidR="001856EE" w:rsidRPr="009171F4" w14:paraId="19D9139E" w14:textId="77777777" w:rsidTr="00B70E50">
        <w:trPr>
          <w:trHeight w:val="457"/>
        </w:trPr>
        <w:tc>
          <w:tcPr>
            <w:tcW w:w="1790" w:type="dxa"/>
            <w:tcBorders>
              <w:top w:val="single" w:sz="8" w:space="0" w:color="000000"/>
              <w:left w:val="single" w:sz="8" w:space="0" w:color="000000"/>
              <w:bottom w:val="single" w:sz="8" w:space="0" w:color="000000"/>
              <w:right w:val="single" w:sz="8" w:space="0" w:color="000000"/>
            </w:tcBorders>
          </w:tcPr>
          <w:p w14:paraId="438DA5A9" w14:textId="2E27D15E" w:rsidR="001856EE" w:rsidRPr="009171F4" w:rsidRDefault="001856EE" w:rsidP="001856EE">
            <w:pPr>
              <w:rPr>
                <w:rFonts w:ascii="Arial" w:hAnsi="Arial" w:cs="Arial"/>
                <w:sz w:val="24"/>
                <w:szCs w:val="24"/>
              </w:rPr>
            </w:pPr>
          </w:p>
        </w:tc>
        <w:tc>
          <w:tcPr>
            <w:tcW w:w="5220" w:type="dxa"/>
            <w:tcBorders>
              <w:top w:val="single" w:sz="8" w:space="0" w:color="000000"/>
              <w:left w:val="single" w:sz="8" w:space="0" w:color="000000"/>
              <w:bottom w:val="single" w:sz="8" w:space="0" w:color="000000"/>
              <w:right w:val="single" w:sz="8" w:space="0" w:color="000000"/>
            </w:tcBorders>
          </w:tcPr>
          <w:p w14:paraId="2C192AD3" w14:textId="0ECEC9FE" w:rsidR="001856EE" w:rsidRPr="009171F4" w:rsidRDefault="001856EE" w:rsidP="001856EE">
            <w:pPr>
              <w:rPr>
                <w:rFonts w:ascii="Arial" w:hAnsi="Arial" w:cs="Arial"/>
                <w:sz w:val="24"/>
                <w:szCs w:val="24"/>
              </w:rPr>
            </w:pPr>
          </w:p>
        </w:tc>
        <w:tc>
          <w:tcPr>
            <w:tcW w:w="2132" w:type="dxa"/>
            <w:tcBorders>
              <w:top w:val="single" w:sz="8" w:space="0" w:color="000000"/>
              <w:left w:val="single" w:sz="8" w:space="0" w:color="000000"/>
              <w:bottom w:val="single" w:sz="8" w:space="0" w:color="000000"/>
              <w:right w:val="single" w:sz="8" w:space="0" w:color="000000"/>
            </w:tcBorders>
          </w:tcPr>
          <w:p w14:paraId="5C8C9FBE" w14:textId="77777777" w:rsidR="001856EE" w:rsidRPr="009171F4" w:rsidRDefault="001856EE" w:rsidP="001856EE">
            <w:pPr>
              <w:rPr>
                <w:rFonts w:ascii="Arial" w:hAnsi="Arial" w:cs="Arial"/>
                <w:sz w:val="24"/>
                <w:szCs w:val="24"/>
              </w:rPr>
            </w:pPr>
          </w:p>
        </w:tc>
      </w:tr>
    </w:tbl>
    <w:p w14:paraId="3105F272" w14:textId="04F3C8CD" w:rsidR="00862653" w:rsidRPr="00DF7536" w:rsidRDefault="00FD26A2" w:rsidP="00DF7536">
      <w:pPr>
        <w:pStyle w:val="Heading1"/>
        <w:rPr>
          <w:color w:val="auto"/>
        </w:rPr>
      </w:pPr>
      <w:r w:rsidRPr="00DF7536">
        <w:rPr>
          <w:color w:val="auto"/>
        </w:rPr>
        <w:t>9.0 Related Documents</w:t>
      </w:r>
    </w:p>
    <w:p w14:paraId="4ABEA58A" w14:textId="67B40118" w:rsidR="003140A8" w:rsidRPr="00BA3DDA" w:rsidRDefault="00BA3DDA" w:rsidP="009171F4">
      <w:pPr>
        <w:spacing w:after="240" w:line="240" w:lineRule="auto"/>
        <w:ind w:right="446"/>
        <w:jc w:val="both"/>
        <w:rPr>
          <w:rFonts w:ascii="Arial" w:hAnsi="Arial" w:cs="Arial"/>
          <w:sz w:val="24"/>
        </w:rPr>
      </w:pPr>
      <w:hyperlink r:id="rId11" w:history="1">
        <w:r w:rsidRPr="00BA3DDA">
          <w:rPr>
            <w:rStyle w:val="Hyperlink"/>
            <w:rFonts w:ascii="Arial" w:hAnsi="Arial" w:cs="Arial"/>
            <w:sz w:val="24"/>
          </w:rPr>
          <w:t>CPE Opportunities from ISACA</w:t>
        </w:r>
      </w:hyperlink>
    </w:p>
    <w:p w14:paraId="552FEB02" w14:textId="377CD330" w:rsidR="00D57CFA" w:rsidRPr="009171F4" w:rsidRDefault="00BA3DDA" w:rsidP="009171F4">
      <w:pPr>
        <w:spacing w:after="240" w:line="240" w:lineRule="auto"/>
        <w:ind w:right="446"/>
        <w:jc w:val="both"/>
        <w:rPr>
          <w:rFonts w:ascii="Arial" w:hAnsi="Arial" w:cs="Arial"/>
          <w:color w:val="000000"/>
          <w:sz w:val="24"/>
          <w:szCs w:val="24"/>
        </w:rPr>
      </w:pPr>
      <w:hyperlink r:id="rId12" w:history="1">
        <w:r w:rsidR="001856EE" w:rsidRPr="009171F4">
          <w:rPr>
            <w:rStyle w:val="Hyperlink"/>
            <w:rFonts w:ascii="Arial" w:hAnsi="Arial" w:cs="Arial"/>
            <w:sz w:val="24"/>
            <w:szCs w:val="24"/>
          </w:rPr>
          <w:t>ISC2 C</w:t>
        </w:r>
        <w:r w:rsidR="001856EE" w:rsidRPr="009171F4">
          <w:rPr>
            <w:rStyle w:val="Hyperlink"/>
            <w:rFonts w:ascii="Arial" w:hAnsi="Arial" w:cs="Arial"/>
            <w:sz w:val="24"/>
            <w:szCs w:val="24"/>
          </w:rPr>
          <w:t>o</w:t>
        </w:r>
        <w:r w:rsidR="001856EE" w:rsidRPr="009171F4">
          <w:rPr>
            <w:rStyle w:val="Hyperlink"/>
            <w:rFonts w:ascii="Arial" w:hAnsi="Arial" w:cs="Arial"/>
            <w:sz w:val="24"/>
            <w:szCs w:val="24"/>
          </w:rPr>
          <w:t>ntinuing Professional Education Policies and Guidelines</w:t>
        </w:r>
      </w:hyperlink>
      <w:bookmarkStart w:id="12" w:name="_GoBack"/>
      <w:bookmarkEnd w:id="12"/>
    </w:p>
    <w:sectPr w:rsidR="00D57CFA" w:rsidRPr="009171F4" w:rsidSect="00517A11">
      <w:footerReference w:type="default" r:id="rId13"/>
      <w:headerReference w:type="first" r:id="rId14"/>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F10F" w14:textId="77777777" w:rsidR="00D7037C" w:rsidRDefault="00D7037C" w:rsidP="00D212FD">
      <w:pPr>
        <w:spacing w:after="0" w:line="240" w:lineRule="auto"/>
      </w:pPr>
      <w:r>
        <w:separator/>
      </w:r>
    </w:p>
  </w:endnote>
  <w:endnote w:type="continuationSeparator" w:id="0">
    <w:p w14:paraId="33AF05DF" w14:textId="77777777" w:rsidR="00D7037C" w:rsidRDefault="00D7037C" w:rsidP="00D212FD">
      <w:pPr>
        <w:spacing w:after="0" w:line="240" w:lineRule="auto"/>
      </w:pPr>
      <w:r>
        <w:continuationSeparator/>
      </w:r>
    </w:p>
  </w:endnote>
  <w:endnote w:type="continuationNotice" w:id="1">
    <w:p w14:paraId="5FF0B533" w14:textId="77777777" w:rsidR="00D7037C" w:rsidRDefault="00D70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w Cen MT">
    <w:altName w:val="Tw Ce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8023" w14:textId="0C079AD8" w:rsidR="0056160A" w:rsidRPr="00DF7536" w:rsidRDefault="00AE38D9" w:rsidP="00B56BA6">
    <w:pPr>
      <w:pStyle w:val="Footer"/>
      <w:rPr>
        <w:rFonts w:ascii="Arial" w:hAnsi="Arial" w:cs="Arial"/>
        <w:b/>
        <w:sz w:val="20"/>
        <w:szCs w:val="16"/>
      </w:rPr>
    </w:pPr>
    <w:r w:rsidRPr="00DF7536">
      <w:rPr>
        <w:rFonts w:ascii="Arial" w:hAnsi="Arial" w:cs="Arial"/>
        <w:b/>
        <w:sz w:val="20"/>
        <w:szCs w:val="16"/>
      </w:rPr>
      <w:t>CPE Requirements Standard</w:t>
    </w:r>
    <w:r w:rsidR="0056160A" w:rsidRPr="00DF7536">
      <w:rPr>
        <w:rFonts w:ascii="Arial" w:hAnsi="Arial" w:cs="Arial"/>
        <w:b/>
        <w:sz w:val="20"/>
        <w:szCs w:val="16"/>
      </w:rPr>
      <w:tab/>
    </w:r>
    <w:r w:rsidR="0056160A" w:rsidRPr="00DF7536">
      <w:rPr>
        <w:rFonts w:ascii="Arial" w:hAnsi="Arial" w:cs="Arial"/>
        <w:b/>
        <w:sz w:val="20"/>
        <w:szCs w:val="16"/>
      </w:rPr>
      <w:tab/>
      <w:t xml:space="preserve">Page </w:t>
    </w:r>
    <w:r w:rsidR="0056160A" w:rsidRPr="00DF7536">
      <w:rPr>
        <w:rFonts w:ascii="Arial" w:hAnsi="Arial" w:cs="Arial"/>
        <w:b/>
        <w:sz w:val="20"/>
        <w:szCs w:val="16"/>
      </w:rPr>
      <w:fldChar w:fldCharType="begin"/>
    </w:r>
    <w:r w:rsidR="0056160A" w:rsidRPr="00DF7536">
      <w:rPr>
        <w:rFonts w:ascii="Arial" w:hAnsi="Arial" w:cs="Arial"/>
        <w:b/>
        <w:sz w:val="20"/>
        <w:szCs w:val="16"/>
      </w:rPr>
      <w:instrText xml:space="preserve"> PAGE </w:instrText>
    </w:r>
    <w:r w:rsidR="0056160A" w:rsidRPr="00DF7536">
      <w:rPr>
        <w:rFonts w:ascii="Arial" w:hAnsi="Arial" w:cs="Arial"/>
        <w:b/>
        <w:sz w:val="20"/>
        <w:szCs w:val="16"/>
      </w:rPr>
      <w:fldChar w:fldCharType="separate"/>
    </w:r>
    <w:r w:rsidR="00DD546C" w:rsidRPr="00DF7536">
      <w:rPr>
        <w:rFonts w:ascii="Arial" w:hAnsi="Arial" w:cs="Arial"/>
        <w:b/>
        <w:noProof/>
        <w:sz w:val="20"/>
        <w:szCs w:val="16"/>
      </w:rPr>
      <w:t>5</w:t>
    </w:r>
    <w:r w:rsidR="0056160A" w:rsidRPr="00DF7536">
      <w:rPr>
        <w:rFonts w:ascii="Arial" w:hAnsi="Arial" w:cs="Arial"/>
        <w:b/>
        <w:sz w:val="20"/>
        <w:szCs w:val="16"/>
      </w:rPr>
      <w:fldChar w:fldCharType="end"/>
    </w:r>
    <w:r w:rsidR="0056160A" w:rsidRPr="00DF7536">
      <w:rPr>
        <w:rFonts w:ascii="Arial" w:hAnsi="Arial" w:cs="Arial"/>
        <w:b/>
        <w:sz w:val="20"/>
        <w:szCs w:val="16"/>
      </w:rPr>
      <w:t xml:space="preserve"> of </w:t>
    </w:r>
    <w:r w:rsidR="0056160A" w:rsidRPr="00DF7536">
      <w:rPr>
        <w:rFonts w:ascii="Arial" w:hAnsi="Arial" w:cs="Arial"/>
        <w:b/>
        <w:sz w:val="20"/>
        <w:szCs w:val="16"/>
      </w:rPr>
      <w:fldChar w:fldCharType="begin"/>
    </w:r>
    <w:r w:rsidR="0056160A" w:rsidRPr="00DF7536">
      <w:rPr>
        <w:rFonts w:ascii="Arial" w:hAnsi="Arial" w:cs="Arial"/>
        <w:b/>
        <w:sz w:val="20"/>
        <w:szCs w:val="16"/>
      </w:rPr>
      <w:instrText xml:space="preserve"> SECTIONPAGES  </w:instrText>
    </w:r>
    <w:r w:rsidR="0056160A" w:rsidRPr="00DF7536">
      <w:rPr>
        <w:rFonts w:ascii="Arial" w:hAnsi="Arial" w:cs="Arial"/>
        <w:b/>
        <w:sz w:val="20"/>
        <w:szCs w:val="16"/>
      </w:rPr>
      <w:fldChar w:fldCharType="separate"/>
    </w:r>
    <w:r w:rsidR="00BA3DDA">
      <w:rPr>
        <w:rFonts w:ascii="Arial" w:hAnsi="Arial" w:cs="Arial"/>
        <w:b/>
        <w:noProof/>
        <w:sz w:val="20"/>
        <w:szCs w:val="16"/>
      </w:rPr>
      <w:t>4</w:t>
    </w:r>
    <w:r w:rsidR="0056160A" w:rsidRPr="00DF7536">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5011" w14:textId="77777777" w:rsidR="00D7037C" w:rsidRDefault="00D7037C" w:rsidP="00D212FD">
      <w:pPr>
        <w:spacing w:after="0" w:line="240" w:lineRule="auto"/>
      </w:pPr>
      <w:r>
        <w:separator/>
      </w:r>
    </w:p>
  </w:footnote>
  <w:footnote w:type="continuationSeparator" w:id="0">
    <w:p w14:paraId="2EA53867" w14:textId="77777777" w:rsidR="00D7037C" w:rsidRDefault="00D7037C" w:rsidP="00D212FD">
      <w:pPr>
        <w:spacing w:after="0" w:line="240" w:lineRule="auto"/>
      </w:pPr>
      <w:r>
        <w:continuationSeparator/>
      </w:r>
    </w:p>
  </w:footnote>
  <w:footnote w:type="continuationNotice" w:id="1">
    <w:p w14:paraId="08559D63" w14:textId="77777777" w:rsidR="00D7037C" w:rsidRDefault="00D70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F3F9" w14:textId="3851199F" w:rsidR="0056160A" w:rsidRDefault="0056160A" w:rsidP="00D57CFA">
    <w:pPr>
      <w:pStyle w:val="Header"/>
    </w:pPr>
  </w:p>
  <w:p w14:paraId="67337AA9" w14:textId="77777777" w:rsidR="0056160A" w:rsidRDefault="0056160A" w:rsidP="00D57CFA">
    <w:pPr>
      <w:pStyle w:val="Header"/>
    </w:pPr>
  </w:p>
  <w:p w14:paraId="3CF5921E" w14:textId="77777777" w:rsidR="0056160A" w:rsidRDefault="0056160A" w:rsidP="00D57CFA">
    <w:pPr>
      <w:pStyle w:val="Header"/>
    </w:pPr>
  </w:p>
  <w:p w14:paraId="33F351E1" w14:textId="77777777" w:rsidR="0056160A" w:rsidRDefault="0056160A" w:rsidP="00D57CFA">
    <w:pPr>
      <w:pStyle w:val="Header"/>
      <w:tabs>
        <w:tab w:val="clear" w:pos="9360"/>
        <w:tab w:val="left" w:pos="990"/>
        <w:tab w:val="right" w:pos="10080"/>
      </w:tabs>
    </w:pPr>
    <w:r>
      <w:tab/>
    </w:r>
  </w:p>
  <w:p w14:paraId="1898FB6F" w14:textId="5F97A181" w:rsidR="0056160A" w:rsidRDefault="0056160A" w:rsidP="00D57CFA">
    <w:pPr>
      <w:pStyle w:val="Header"/>
    </w:pPr>
  </w:p>
  <w:p w14:paraId="3FF28ADF" w14:textId="77777777" w:rsidR="0056160A" w:rsidRDefault="0056160A" w:rsidP="00D57CFA">
    <w:pPr>
      <w:pStyle w:val="Header"/>
      <w:tabs>
        <w:tab w:val="clear" w:pos="4680"/>
        <w:tab w:val="clear" w:pos="9360"/>
        <w:tab w:val="left" w:pos="7125"/>
      </w:tabs>
    </w:pPr>
    <w:r>
      <w:tab/>
    </w:r>
  </w:p>
  <w:p w14:paraId="56C653AB" w14:textId="77777777" w:rsidR="0056160A" w:rsidRDefault="0056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6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BF1622"/>
    <w:multiLevelType w:val="multilevel"/>
    <w:tmpl w:val="15C0C074"/>
    <w:lvl w:ilvl="0">
      <w:start w:val="1"/>
      <w:numFmt w:val="bullet"/>
      <w:lvlText w:val=""/>
      <w:lvlJc w:val="left"/>
      <w:pPr>
        <w:ind w:left="810" w:hanging="405"/>
      </w:pPr>
      <w:rPr>
        <w:rFonts w:ascii="Symbol" w:hAnsi="Symbol" w:hint="default"/>
      </w:rPr>
    </w:lvl>
    <w:lvl w:ilvl="1">
      <w:start w:val="1"/>
      <w:numFmt w:val="decimal"/>
      <w:lvlText w:val="%1.%2"/>
      <w:lvlJc w:val="left"/>
      <w:pPr>
        <w:ind w:left="1530" w:hanging="405"/>
      </w:pPr>
    </w:lvl>
    <w:lvl w:ilvl="2">
      <w:start w:val="1"/>
      <w:numFmt w:val="decimal"/>
      <w:lvlText w:val="%1.%2.%3"/>
      <w:lvlJc w:val="left"/>
      <w:pPr>
        <w:ind w:left="2565" w:hanging="720"/>
      </w:pPr>
    </w:lvl>
    <w:lvl w:ilvl="3">
      <w:start w:val="1"/>
      <w:numFmt w:val="decimal"/>
      <w:lvlText w:val="%1.%2.%3.%4"/>
      <w:lvlJc w:val="left"/>
      <w:pPr>
        <w:ind w:left="3285" w:hanging="720"/>
      </w:pPr>
    </w:lvl>
    <w:lvl w:ilvl="4">
      <w:start w:val="1"/>
      <w:numFmt w:val="decimal"/>
      <w:lvlText w:val="%1.%2.%3.%4.%5"/>
      <w:lvlJc w:val="left"/>
      <w:pPr>
        <w:ind w:left="4365" w:hanging="1080"/>
      </w:pPr>
    </w:lvl>
    <w:lvl w:ilvl="5">
      <w:start w:val="1"/>
      <w:numFmt w:val="decimal"/>
      <w:lvlText w:val="%1.%2.%3.%4.%5.%6"/>
      <w:lvlJc w:val="left"/>
      <w:pPr>
        <w:ind w:left="5085" w:hanging="1080"/>
      </w:pPr>
    </w:lvl>
    <w:lvl w:ilvl="6">
      <w:start w:val="1"/>
      <w:numFmt w:val="decimal"/>
      <w:lvlText w:val="%1.%2.%3.%4.%5.%6.%7"/>
      <w:lvlJc w:val="left"/>
      <w:pPr>
        <w:ind w:left="6165" w:hanging="1440"/>
      </w:pPr>
    </w:lvl>
    <w:lvl w:ilvl="7">
      <w:start w:val="1"/>
      <w:numFmt w:val="decimal"/>
      <w:lvlText w:val="%1.%2.%3.%4.%5.%6.%7.%8"/>
      <w:lvlJc w:val="left"/>
      <w:pPr>
        <w:ind w:left="6885" w:hanging="1440"/>
      </w:pPr>
    </w:lvl>
    <w:lvl w:ilvl="8">
      <w:start w:val="1"/>
      <w:numFmt w:val="decimal"/>
      <w:lvlText w:val="%1.%2.%3.%4.%5.%6.%7.%8.%9"/>
      <w:lvlJc w:val="left"/>
      <w:pPr>
        <w:ind w:left="7605" w:hanging="1440"/>
      </w:pPr>
    </w:lvl>
  </w:abstractNum>
  <w:abstractNum w:abstractNumId="16"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15:restartNumberingAfterBreak="0">
    <w:nsid w:val="4D3E1497"/>
    <w:multiLevelType w:val="multilevel"/>
    <w:tmpl w:val="15C0C074"/>
    <w:lvl w:ilvl="0">
      <w:start w:val="1"/>
      <w:numFmt w:val="bullet"/>
      <w:lvlText w:val=""/>
      <w:lvlJc w:val="left"/>
      <w:pPr>
        <w:ind w:left="810" w:hanging="405"/>
      </w:pPr>
      <w:rPr>
        <w:rFonts w:ascii="Symbol" w:hAnsi="Symbol" w:hint="default"/>
      </w:rPr>
    </w:lvl>
    <w:lvl w:ilvl="1">
      <w:start w:val="1"/>
      <w:numFmt w:val="decimal"/>
      <w:lvlText w:val="%1.%2"/>
      <w:lvlJc w:val="left"/>
      <w:pPr>
        <w:ind w:left="1530" w:hanging="405"/>
      </w:pPr>
    </w:lvl>
    <w:lvl w:ilvl="2">
      <w:start w:val="1"/>
      <w:numFmt w:val="decimal"/>
      <w:lvlText w:val="%1.%2.%3"/>
      <w:lvlJc w:val="left"/>
      <w:pPr>
        <w:ind w:left="2565" w:hanging="720"/>
      </w:pPr>
    </w:lvl>
    <w:lvl w:ilvl="3">
      <w:start w:val="1"/>
      <w:numFmt w:val="decimal"/>
      <w:lvlText w:val="%1.%2.%3.%4"/>
      <w:lvlJc w:val="left"/>
      <w:pPr>
        <w:ind w:left="3285" w:hanging="720"/>
      </w:pPr>
    </w:lvl>
    <w:lvl w:ilvl="4">
      <w:start w:val="1"/>
      <w:numFmt w:val="decimal"/>
      <w:lvlText w:val="%1.%2.%3.%4.%5"/>
      <w:lvlJc w:val="left"/>
      <w:pPr>
        <w:ind w:left="4365" w:hanging="1080"/>
      </w:pPr>
    </w:lvl>
    <w:lvl w:ilvl="5">
      <w:start w:val="1"/>
      <w:numFmt w:val="decimal"/>
      <w:lvlText w:val="%1.%2.%3.%4.%5.%6"/>
      <w:lvlJc w:val="left"/>
      <w:pPr>
        <w:ind w:left="5085" w:hanging="1080"/>
      </w:pPr>
    </w:lvl>
    <w:lvl w:ilvl="6">
      <w:start w:val="1"/>
      <w:numFmt w:val="decimal"/>
      <w:lvlText w:val="%1.%2.%3.%4.%5.%6.%7"/>
      <w:lvlJc w:val="left"/>
      <w:pPr>
        <w:ind w:left="6165" w:hanging="1440"/>
      </w:pPr>
    </w:lvl>
    <w:lvl w:ilvl="7">
      <w:start w:val="1"/>
      <w:numFmt w:val="decimal"/>
      <w:lvlText w:val="%1.%2.%3.%4.%5.%6.%7.%8"/>
      <w:lvlJc w:val="left"/>
      <w:pPr>
        <w:ind w:left="6885" w:hanging="1440"/>
      </w:pPr>
    </w:lvl>
    <w:lvl w:ilvl="8">
      <w:start w:val="1"/>
      <w:numFmt w:val="decimal"/>
      <w:lvlText w:val="%1.%2.%3.%4.%5.%6.%7.%8.%9"/>
      <w:lvlJc w:val="left"/>
      <w:pPr>
        <w:ind w:left="7605" w:hanging="1440"/>
      </w:pPr>
    </w:lvl>
  </w:abstractNum>
  <w:abstractNum w:abstractNumId="20"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76D76"/>
    <w:multiLevelType w:val="multilevel"/>
    <w:tmpl w:val="15C0C074"/>
    <w:lvl w:ilvl="0">
      <w:start w:val="1"/>
      <w:numFmt w:val="bullet"/>
      <w:lvlText w:val=""/>
      <w:lvlJc w:val="left"/>
      <w:pPr>
        <w:ind w:left="810" w:hanging="405"/>
      </w:pPr>
      <w:rPr>
        <w:rFonts w:ascii="Symbol" w:hAnsi="Symbol" w:hint="default"/>
      </w:rPr>
    </w:lvl>
    <w:lvl w:ilvl="1">
      <w:start w:val="1"/>
      <w:numFmt w:val="decimal"/>
      <w:lvlText w:val="%1.%2"/>
      <w:lvlJc w:val="left"/>
      <w:pPr>
        <w:ind w:left="1530" w:hanging="405"/>
      </w:pPr>
    </w:lvl>
    <w:lvl w:ilvl="2">
      <w:start w:val="1"/>
      <w:numFmt w:val="decimal"/>
      <w:lvlText w:val="%1.%2.%3"/>
      <w:lvlJc w:val="left"/>
      <w:pPr>
        <w:ind w:left="2565" w:hanging="720"/>
      </w:pPr>
    </w:lvl>
    <w:lvl w:ilvl="3">
      <w:start w:val="1"/>
      <w:numFmt w:val="decimal"/>
      <w:lvlText w:val="%1.%2.%3.%4"/>
      <w:lvlJc w:val="left"/>
      <w:pPr>
        <w:ind w:left="3285" w:hanging="720"/>
      </w:pPr>
    </w:lvl>
    <w:lvl w:ilvl="4">
      <w:start w:val="1"/>
      <w:numFmt w:val="decimal"/>
      <w:lvlText w:val="%1.%2.%3.%4.%5"/>
      <w:lvlJc w:val="left"/>
      <w:pPr>
        <w:ind w:left="4365" w:hanging="1080"/>
      </w:pPr>
    </w:lvl>
    <w:lvl w:ilvl="5">
      <w:start w:val="1"/>
      <w:numFmt w:val="decimal"/>
      <w:lvlText w:val="%1.%2.%3.%4.%5.%6"/>
      <w:lvlJc w:val="left"/>
      <w:pPr>
        <w:ind w:left="5085" w:hanging="1080"/>
      </w:pPr>
    </w:lvl>
    <w:lvl w:ilvl="6">
      <w:start w:val="1"/>
      <w:numFmt w:val="decimal"/>
      <w:lvlText w:val="%1.%2.%3.%4.%5.%6.%7"/>
      <w:lvlJc w:val="left"/>
      <w:pPr>
        <w:ind w:left="6165" w:hanging="1440"/>
      </w:pPr>
    </w:lvl>
    <w:lvl w:ilvl="7">
      <w:start w:val="1"/>
      <w:numFmt w:val="decimal"/>
      <w:lvlText w:val="%1.%2.%3.%4.%5.%6.%7.%8"/>
      <w:lvlJc w:val="left"/>
      <w:pPr>
        <w:ind w:left="6885" w:hanging="1440"/>
      </w:pPr>
    </w:lvl>
    <w:lvl w:ilvl="8">
      <w:start w:val="1"/>
      <w:numFmt w:val="decimal"/>
      <w:lvlText w:val="%1.%2.%3.%4.%5.%6.%7.%8.%9"/>
      <w:lvlJc w:val="left"/>
      <w:pPr>
        <w:ind w:left="7605" w:hanging="1440"/>
      </w:pPr>
    </w:lvl>
  </w:abstractNum>
  <w:abstractNum w:abstractNumId="24"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28"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AB6A8B"/>
    <w:multiLevelType w:val="hybridMultilevel"/>
    <w:tmpl w:val="6484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1"/>
  </w:num>
  <w:num w:numId="5">
    <w:abstractNumId w:val="9"/>
  </w:num>
  <w:num w:numId="6">
    <w:abstractNumId w:val="13"/>
  </w:num>
  <w:num w:numId="7">
    <w:abstractNumId w:val="18"/>
  </w:num>
  <w:num w:numId="8">
    <w:abstractNumId w:val="25"/>
  </w:num>
  <w:num w:numId="9">
    <w:abstractNumId w:val="20"/>
  </w:num>
  <w:num w:numId="10">
    <w:abstractNumId w:val="26"/>
  </w:num>
  <w:num w:numId="11">
    <w:abstractNumId w:val="10"/>
  </w:num>
  <w:num w:numId="12">
    <w:abstractNumId w:val="17"/>
  </w:num>
  <w:num w:numId="13">
    <w:abstractNumId w:val="24"/>
  </w:num>
  <w:num w:numId="14">
    <w:abstractNumId w:val="30"/>
  </w:num>
  <w:num w:numId="15">
    <w:abstractNumId w:val="21"/>
  </w:num>
  <w:num w:numId="16">
    <w:abstractNumId w:val="29"/>
  </w:num>
  <w:num w:numId="17">
    <w:abstractNumId w:val="12"/>
  </w:num>
  <w:num w:numId="18">
    <w:abstractNumId w:val="3"/>
  </w:num>
  <w:num w:numId="19">
    <w:abstractNumId w:val="14"/>
  </w:num>
  <w:num w:numId="20">
    <w:abstractNumId w:val="4"/>
  </w:num>
  <w:num w:numId="21">
    <w:abstractNumId w:val="28"/>
  </w:num>
  <w:num w:numId="22">
    <w:abstractNumId w:val="0"/>
  </w:num>
  <w:num w:numId="23">
    <w:abstractNumId w:val="16"/>
  </w:num>
  <w:num w:numId="24">
    <w:abstractNumId w:val="11"/>
  </w:num>
  <w:num w:numId="25">
    <w:abstractNumId w:val="5"/>
  </w:num>
  <w:num w:numId="26">
    <w:abstractNumId w:val="21"/>
  </w:num>
  <w:num w:numId="27">
    <w:abstractNumId w:val="2"/>
  </w:num>
  <w:num w:numId="28">
    <w:abstractNumId w:val="22"/>
  </w:num>
  <w:num w:numId="29">
    <w:abstractNumId w:val="22"/>
  </w:num>
  <w:num w:numId="30">
    <w:abstractNumId w:val="1"/>
  </w:num>
  <w:num w:numId="31">
    <w:abstractNumId w:val="27"/>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59"/>
    <w:rsid w:val="00000C72"/>
    <w:rsid w:val="00004B71"/>
    <w:rsid w:val="000059B7"/>
    <w:rsid w:val="00007B41"/>
    <w:rsid w:val="00015FE5"/>
    <w:rsid w:val="00025AD3"/>
    <w:rsid w:val="0003290F"/>
    <w:rsid w:val="0004473F"/>
    <w:rsid w:val="00064308"/>
    <w:rsid w:val="000649E1"/>
    <w:rsid w:val="00067349"/>
    <w:rsid w:val="00067BF2"/>
    <w:rsid w:val="0008459D"/>
    <w:rsid w:val="00095A86"/>
    <w:rsid w:val="00097E7D"/>
    <w:rsid w:val="000A7712"/>
    <w:rsid w:val="000B22CE"/>
    <w:rsid w:val="000C7EC9"/>
    <w:rsid w:val="000D0DD2"/>
    <w:rsid w:val="000D27DE"/>
    <w:rsid w:val="000E004A"/>
    <w:rsid w:val="000E1B8F"/>
    <w:rsid w:val="000E2AB1"/>
    <w:rsid w:val="000E5F2D"/>
    <w:rsid w:val="000E6322"/>
    <w:rsid w:val="000E7F04"/>
    <w:rsid w:val="000F21A2"/>
    <w:rsid w:val="000F7D83"/>
    <w:rsid w:val="00102B2E"/>
    <w:rsid w:val="00105B79"/>
    <w:rsid w:val="00107913"/>
    <w:rsid w:val="0011412A"/>
    <w:rsid w:val="00115565"/>
    <w:rsid w:val="0011587C"/>
    <w:rsid w:val="00120224"/>
    <w:rsid w:val="00127501"/>
    <w:rsid w:val="00132D40"/>
    <w:rsid w:val="00132EED"/>
    <w:rsid w:val="00134AC2"/>
    <w:rsid w:val="00134B39"/>
    <w:rsid w:val="00152995"/>
    <w:rsid w:val="00160066"/>
    <w:rsid w:val="001608BB"/>
    <w:rsid w:val="00165B78"/>
    <w:rsid w:val="00175B22"/>
    <w:rsid w:val="00176FD3"/>
    <w:rsid w:val="0018190B"/>
    <w:rsid w:val="001856EE"/>
    <w:rsid w:val="00192CC3"/>
    <w:rsid w:val="001A0541"/>
    <w:rsid w:val="001A3862"/>
    <w:rsid w:val="001A6527"/>
    <w:rsid w:val="001B13D9"/>
    <w:rsid w:val="001B207D"/>
    <w:rsid w:val="001B335C"/>
    <w:rsid w:val="001B401D"/>
    <w:rsid w:val="001C0D8B"/>
    <w:rsid w:val="001C5A71"/>
    <w:rsid w:val="001D7A64"/>
    <w:rsid w:val="001E1B0C"/>
    <w:rsid w:val="001E4205"/>
    <w:rsid w:val="001F609C"/>
    <w:rsid w:val="00203885"/>
    <w:rsid w:val="002068B2"/>
    <w:rsid w:val="0021179B"/>
    <w:rsid w:val="00214C00"/>
    <w:rsid w:val="0021650D"/>
    <w:rsid w:val="0022609C"/>
    <w:rsid w:val="002335BD"/>
    <w:rsid w:val="002413AD"/>
    <w:rsid w:val="00254F95"/>
    <w:rsid w:val="002657E4"/>
    <w:rsid w:val="0026673E"/>
    <w:rsid w:val="002761BB"/>
    <w:rsid w:val="002867B4"/>
    <w:rsid w:val="00297627"/>
    <w:rsid w:val="002A0C29"/>
    <w:rsid w:val="002A365B"/>
    <w:rsid w:val="002A6BF3"/>
    <w:rsid w:val="002A70B4"/>
    <w:rsid w:val="002B4D9E"/>
    <w:rsid w:val="002B57A1"/>
    <w:rsid w:val="002C1D99"/>
    <w:rsid w:val="002C3B56"/>
    <w:rsid w:val="002D3568"/>
    <w:rsid w:val="002D3C4A"/>
    <w:rsid w:val="002E0EFD"/>
    <w:rsid w:val="002F01C5"/>
    <w:rsid w:val="00300C30"/>
    <w:rsid w:val="003024F2"/>
    <w:rsid w:val="00302B44"/>
    <w:rsid w:val="003140A8"/>
    <w:rsid w:val="0031452D"/>
    <w:rsid w:val="0031592B"/>
    <w:rsid w:val="00324177"/>
    <w:rsid w:val="003316AB"/>
    <w:rsid w:val="00331C8A"/>
    <w:rsid w:val="003367FD"/>
    <w:rsid w:val="00342A91"/>
    <w:rsid w:val="00344110"/>
    <w:rsid w:val="003454F2"/>
    <w:rsid w:val="00350920"/>
    <w:rsid w:val="0035310E"/>
    <w:rsid w:val="003562C4"/>
    <w:rsid w:val="00360086"/>
    <w:rsid w:val="003651AC"/>
    <w:rsid w:val="00391D2B"/>
    <w:rsid w:val="003A504C"/>
    <w:rsid w:val="003A50A7"/>
    <w:rsid w:val="003A60BF"/>
    <w:rsid w:val="003B0EBB"/>
    <w:rsid w:val="003B658A"/>
    <w:rsid w:val="003C3A84"/>
    <w:rsid w:val="003C6B77"/>
    <w:rsid w:val="003D08DC"/>
    <w:rsid w:val="003E1164"/>
    <w:rsid w:val="003E3F86"/>
    <w:rsid w:val="003F099F"/>
    <w:rsid w:val="003F1C55"/>
    <w:rsid w:val="003F372E"/>
    <w:rsid w:val="003F56C1"/>
    <w:rsid w:val="00413ABD"/>
    <w:rsid w:val="00416A9C"/>
    <w:rsid w:val="00423DDD"/>
    <w:rsid w:val="004249B0"/>
    <w:rsid w:val="00426882"/>
    <w:rsid w:val="00431C29"/>
    <w:rsid w:val="004373BC"/>
    <w:rsid w:val="00446B8D"/>
    <w:rsid w:val="00453386"/>
    <w:rsid w:val="0045793A"/>
    <w:rsid w:val="004612DA"/>
    <w:rsid w:val="00464576"/>
    <w:rsid w:val="00471623"/>
    <w:rsid w:val="00473E19"/>
    <w:rsid w:val="00477798"/>
    <w:rsid w:val="004975BC"/>
    <w:rsid w:val="004A12D4"/>
    <w:rsid w:val="004A49E9"/>
    <w:rsid w:val="004A6140"/>
    <w:rsid w:val="004B746E"/>
    <w:rsid w:val="004C2511"/>
    <w:rsid w:val="004E15AB"/>
    <w:rsid w:val="004E17BE"/>
    <w:rsid w:val="004E1BB5"/>
    <w:rsid w:val="004E34BF"/>
    <w:rsid w:val="004E5C74"/>
    <w:rsid w:val="004F2476"/>
    <w:rsid w:val="0051316D"/>
    <w:rsid w:val="00517A11"/>
    <w:rsid w:val="00517D43"/>
    <w:rsid w:val="00522500"/>
    <w:rsid w:val="00525B85"/>
    <w:rsid w:val="00530EDC"/>
    <w:rsid w:val="005318F6"/>
    <w:rsid w:val="005417A0"/>
    <w:rsid w:val="005419EC"/>
    <w:rsid w:val="00543779"/>
    <w:rsid w:val="0056160A"/>
    <w:rsid w:val="00561CE0"/>
    <w:rsid w:val="00562A2D"/>
    <w:rsid w:val="005654DE"/>
    <w:rsid w:val="005674FF"/>
    <w:rsid w:val="00587171"/>
    <w:rsid w:val="005A3051"/>
    <w:rsid w:val="005A633B"/>
    <w:rsid w:val="005B231E"/>
    <w:rsid w:val="005B6A55"/>
    <w:rsid w:val="005C69FB"/>
    <w:rsid w:val="005D2516"/>
    <w:rsid w:val="005E153F"/>
    <w:rsid w:val="005E1C90"/>
    <w:rsid w:val="005E3212"/>
    <w:rsid w:val="005F0199"/>
    <w:rsid w:val="005F2D1B"/>
    <w:rsid w:val="00605AF8"/>
    <w:rsid w:val="00614302"/>
    <w:rsid w:val="00621EB7"/>
    <w:rsid w:val="00625764"/>
    <w:rsid w:val="006264D2"/>
    <w:rsid w:val="006318E3"/>
    <w:rsid w:val="00631A8E"/>
    <w:rsid w:val="00640F43"/>
    <w:rsid w:val="006443B7"/>
    <w:rsid w:val="00645247"/>
    <w:rsid w:val="00650BD7"/>
    <w:rsid w:val="0065356D"/>
    <w:rsid w:val="00663920"/>
    <w:rsid w:val="00666DCD"/>
    <w:rsid w:val="00677DC2"/>
    <w:rsid w:val="00685314"/>
    <w:rsid w:val="006875BD"/>
    <w:rsid w:val="00694606"/>
    <w:rsid w:val="006964BC"/>
    <w:rsid w:val="006A1FC6"/>
    <w:rsid w:val="006A278A"/>
    <w:rsid w:val="006A4BFC"/>
    <w:rsid w:val="006A4D15"/>
    <w:rsid w:val="006B4148"/>
    <w:rsid w:val="006C1883"/>
    <w:rsid w:val="006D044D"/>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5EB9"/>
    <w:rsid w:val="00736033"/>
    <w:rsid w:val="00736AF8"/>
    <w:rsid w:val="007455CF"/>
    <w:rsid w:val="007500C7"/>
    <w:rsid w:val="00751A9A"/>
    <w:rsid w:val="007529BE"/>
    <w:rsid w:val="00752E6C"/>
    <w:rsid w:val="00756713"/>
    <w:rsid w:val="00763DF5"/>
    <w:rsid w:val="0077680E"/>
    <w:rsid w:val="00783149"/>
    <w:rsid w:val="00786A33"/>
    <w:rsid w:val="007911F9"/>
    <w:rsid w:val="00791DDF"/>
    <w:rsid w:val="00794C38"/>
    <w:rsid w:val="007A618C"/>
    <w:rsid w:val="007B261E"/>
    <w:rsid w:val="007B45AC"/>
    <w:rsid w:val="007B7F24"/>
    <w:rsid w:val="007C694B"/>
    <w:rsid w:val="007C77C2"/>
    <w:rsid w:val="007E11D6"/>
    <w:rsid w:val="007E20A4"/>
    <w:rsid w:val="007E4717"/>
    <w:rsid w:val="007E7864"/>
    <w:rsid w:val="007F4FB3"/>
    <w:rsid w:val="007F6B0E"/>
    <w:rsid w:val="00812DEA"/>
    <w:rsid w:val="008137F4"/>
    <w:rsid w:val="00817490"/>
    <w:rsid w:val="00817CF6"/>
    <w:rsid w:val="0082107A"/>
    <w:rsid w:val="008220CB"/>
    <w:rsid w:val="00827E33"/>
    <w:rsid w:val="00835582"/>
    <w:rsid w:val="00840EC8"/>
    <w:rsid w:val="00841EC0"/>
    <w:rsid w:val="00862653"/>
    <w:rsid w:val="00864379"/>
    <w:rsid w:val="008834A0"/>
    <w:rsid w:val="00883EFE"/>
    <w:rsid w:val="00885019"/>
    <w:rsid w:val="008851C5"/>
    <w:rsid w:val="008860CE"/>
    <w:rsid w:val="008923AA"/>
    <w:rsid w:val="00893720"/>
    <w:rsid w:val="00896333"/>
    <w:rsid w:val="008B070D"/>
    <w:rsid w:val="008B1DFB"/>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10FD5"/>
    <w:rsid w:val="00911AA8"/>
    <w:rsid w:val="00915B10"/>
    <w:rsid w:val="00915E59"/>
    <w:rsid w:val="009171F4"/>
    <w:rsid w:val="00932A1C"/>
    <w:rsid w:val="00934CF3"/>
    <w:rsid w:val="00941257"/>
    <w:rsid w:val="00941C0A"/>
    <w:rsid w:val="009434E7"/>
    <w:rsid w:val="00953454"/>
    <w:rsid w:val="00956FAE"/>
    <w:rsid w:val="0095758B"/>
    <w:rsid w:val="00966FED"/>
    <w:rsid w:val="0096705E"/>
    <w:rsid w:val="00972985"/>
    <w:rsid w:val="00975378"/>
    <w:rsid w:val="00992E88"/>
    <w:rsid w:val="009953F8"/>
    <w:rsid w:val="009A309F"/>
    <w:rsid w:val="009B1046"/>
    <w:rsid w:val="009B7021"/>
    <w:rsid w:val="009C0BE1"/>
    <w:rsid w:val="009C1947"/>
    <w:rsid w:val="009C3C90"/>
    <w:rsid w:val="009D0CA1"/>
    <w:rsid w:val="009D3E3E"/>
    <w:rsid w:val="009E37F4"/>
    <w:rsid w:val="009E6B8E"/>
    <w:rsid w:val="009F51E2"/>
    <w:rsid w:val="009F532F"/>
    <w:rsid w:val="009F544E"/>
    <w:rsid w:val="009F5C36"/>
    <w:rsid w:val="00A04052"/>
    <w:rsid w:val="00A0781A"/>
    <w:rsid w:val="00A20F41"/>
    <w:rsid w:val="00A22C91"/>
    <w:rsid w:val="00A40466"/>
    <w:rsid w:val="00A4759F"/>
    <w:rsid w:val="00A52081"/>
    <w:rsid w:val="00A5423D"/>
    <w:rsid w:val="00A543BD"/>
    <w:rsid w:val="00A548BB"/>
    <w:rsid w:val="00A549DD"/>
    <w:rsid w:val="00A563FD"/>
    <w:rsid w:val="00A647B7"/>
    <w:rsid w:val="00A6783D"/>
    <w:rsid w:val="00A706B2"/>
    <w:rsid w:val="00A71828"/>
    <w:rsid w:val="00A73B6C"/>
    <w:rsid w:val="00A77647"/>
    <w:rsid w:val="00A96665"/>
    <w:rsid w:val="00A96DF2"/>
    <w:rsid w:val="00AB44CE"/>
    <w:rsid w:val="00AB77FE"/>
    <w:rsid w:val="00AC6959"/>
    <w:rsid w:val="00AD178E"/>
    <w:rsid w:val="00AD65E3"/>
    <w:rsid w:val="00AE38D9"/>
    <w:rsid w:val="00AE7C26"/>
    <w:rsid w:val="00AF069C"/>
    <w:rsid w:val="00AF46E6"/>
    <w:rsid w:val="00AF4EA8"/>
    <w:rsid w:val="00B00E5C"/>
    <w:rsid w:val="00B011A2"/>
    <w:rsid w:val="00B01DD3"/>
    <w:rsid w:val="00B05A44"/>
    <w:rsid w:val="00B10410"/>
    <w:rsid w:val="00B12297"/>
    <w:rsid w:val="00B13173"/>
    <w:rsid w:val="00B2044B"/>
    <w:rsid w:val="00B21002"/>
    <w:rsid w:val="00B34139"/>
    <w:rsid w:val="00B40CAF"/>
    <w:rsid w:val="00B42064"/>
    <w:rsid w:val="00B56BA6"/>
    <w:rsid w:val="00B660B5"/>
    <w:rsid w:val="00B70E50"/>
    <w:rsid w:val="00B71042"/>
    <w:rsid w:val="00B73649"/>
    <w:rsid w:val="00B74892"/>
    <w:rsid w:val="00B80787"/>
    <w:rsid w:val="00B80A67"/>
    <w:rsid w:val="00B97429"/>
    <w:rsid w:val="00BA3DDA"/>
    <w:rsid w:val="00BA4997"/>
    <w:rsid w:val="00BB00F8"/>
    <w:rsid w:val="00BC0E64"/>
    <w:rsid w:val="00BC3852"/>
    <w:rsid w:val="00BC4D98"/>
    <w:rsid w:val="00BC720C"/>
    <w:rsid w:val="00BE0736"/>
    <w:rsid w:val="00BF128E"/>
    <w:rsid w:val="00BF200D"/>
    <w:rsid w:val="00BF7697"/>
    <w:rsid w:val="00C063C2"/>
    <w:rsid w:val="00C204A5"/>
    <w:rsid w:val="00C23014"/>
    <w:rsid w:val="00C23DE6"/>
    <w:rsid w:val="00C427B2"/>
    <w:rsid w:val="00C44080"/>
    <w:rsid w:val="00C4456F"/>
    <w:rsid w:val="00C545AE"/>
    <w:rsid w:val="00C54CB0"/>
    <w:rsid w:val="00C56F9B"/>
    <w:rsid w:val="00C57773"/>
    <w:rsid w:val="00C73C6D"/>
    <w:rsid w:val="00C83D0F"/>
    <w:rsid w:val="00C97C8F"/>
    <w:rsid w:val="00CA3655"/>
    <w:rsid w:val="00CA7724"/>
    <w:rsid w:val="00CC7053"/>
    <w:rsid w:val="00CC7981"/>
    <w:rsid w:val="00CD4267"/>
    <w:rsid w:val="00CD7EB7"/>
    <w:rsid w:val="00CE4838"/>
    <w:rsid w:val="00CF278D"/>
    <w:rsid w:val="00CF71F6"/>
    <w:rsid w:val="00D00D2F"/>
    <w:rsid w:val="00D212FD"/>
    <w:rsid w:val="00D328C7"/>
    <w:rsid w:val="00D57CFA"/>
    <w:rsid w:val="00D62A1C"/>
    <w:rsid w:val="00D66285"/>
    <w:rsid w:val="00D7037C"/>
    <w:rsid w:val="00D712AA"/>
    <w:rsid w:val="00D80277"/>
    <w:rsid w:val="00D913E5"/>
    <w:rsid w:val="00D95212"/>
    <w:rsid w:val="00D95237"/>
    <w:rsid w:val="00DA4CF4"/>
    <w:rsid w:val="00DA580C"/>
    <w:rsid w:val="00DA6A93"/>
    <w:rsid w:val="00DA6CC2"/>
    <w:rsid w:val="00DB2FE1"/>
    <w:rsid w:val="00DC4456"/>
    <w:rsid w:val="00DC5A2B"/>
    <w:rsid w:val="00DC62A7"/>
    <w:rsid w:val="00DC7FB7"/>
    <w:rsid w:val="00DD48DC"/>
    <w:rsid w:val="00DD546C"/>
    <w:rsid w:val="00DE0E1A"/>
    <w:rsid w:val="00DE2FD9"/>
    <w:rsid w:val="00DE42EF"/>
    <w:rsid w:val="00DE7A01"/>
    <w:rsid w:val="00DF1E03"/>
    <w:rsid w:val="00DF2B2B"/>
    <w:rsid w:val="00DF7536"/>
    <w:rsid w:val="00E05156"/>
    <w:rsid w:val="00E06155"/>
    <w:rsid w:val="00E144C5"/>
    <w:rsid w:val="00E16F14"/>
    <w:rsid w:val="00E21592"/>
    <w:rsid w:val="00E21871"/>
    <w:rsid w:val="00E33833"/>
    <w:rsid w:val="00E36913"/>
    <w:rsid w:val="00E46575"/>
    <w:rsid w:val="00E636BF"/>
    <w:rsid w:val="00E642EF"/>
    <w:rsid w:val="00E709DC"/>
    <w:rsid w:val="00E71E67"/>
    <w:rsid w:val="00E82999"/>
    <w:rsid w:val="00E873C4"/>
    <w:rsid w:val="00E96E1C"/>
    <w:rsid w:val="00E96F90"/>
    <w:rsid w:val="00EA323E"/>
    <w:rsid w:val="00EA3255"/>
    <w:rsid w:val="00EA3BCD"/>
    <w:rsid w:val="00EA3CB2"/>
    <w:rsid w:val="00EA5C2E"/>
    <w:rsid w:val="00EA7BBE"/>
    <w:rsid w:val="00EC485B"/>
    <w:rsid w:val="00EC65FA"/>
    <w:rsid w:val="00ED03EB"/>
    <w:rsid w:val="00EE52BB"/>
    <w:rsid w:val="00EF0203"/>
    <w:rsid w:val="00EF78DB"/>
    <w:rsid w:val="00F027B4"/>
    <w:rsid w:val="00F11664"/>
    <w:rsid w:val="00F118FB"/>
    <w:rsid w:val="00F21071"/>
    <w:rsid w:val="00F274B4"/>
    <w:rsid w:val="00F3027D"/>
    <w:rsid w:val="00F3304A"/>
    <w:rsid w:val="00F5315B"/>
    <w:rsid w:val="00F5658D"/>
    <w:rsid w:val="00F65ADB"/>
    <w:rsid w:val="00F65F57"/>
    <w:rsid w:val="00F70D5A"/>
    <w:rsid w:val="00F73AA6"/>
    <w:rsid w:val="00F837FE"/>
    <w:rsid w:val="00FA5A97"/>
    <w:rsid w:val="00FA658F"/>
    <w:rsid w:val="00FB279A"/>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9E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paragraph" w:styleId="ListBullet">
    <w:name w:val="List Bullet"/>
    <w:basedOn w:val="Normal"/>
    <w:autoRedefine/>
    <w:semiHidden/>
    <w:unhideWhenUsed/>
    <w:rsid w:val="00A96665"/>
    <w:pPr>
      <w:snapToGrid w:val="0"/>
      <w:spacing w:after="0" w:line="240" w:lineRule="auto"/>
      <w:jc w:val="both"/>
    </w:pPr>
    <w:rPr>
      <w:rFonts w:ascii="Tw Cen MT" w:hAnsi="Tw Cen MT"/>
      <w:sz w:val="24"/>
      <w:szCs w:val="24"/>
    </w:rPr>
  </w:style>
  <w:style w:type="paragraph" w:styleId="BodyText2">
    <w:name w:val="Body Text 2"/>
    <w:basedOn w:val="Normal"/>
    <w:link w:val="BodyText2Char"/>
    <w:uiPriority w:val="99"/>
    <w:semiHidden/>
    <w:unhideWhenUsed/>
    <w:rsid w:val="00A96665"/>
    <w:pPr>
      <w:spacing w:after="120" w:line="480" w:lineRule="auto"/>
    </w:pPr>
  </w:style>
  <w:style w:type="character" w:customStyle="1" w:styleId="BodyText2Char">
    <w:name w:val="Body Text 2 Char"/>
    <w:basedOn w:val="DefaultParagraphFont"/>
    <w:link w:val="BodyText2"/>
    <w:uiPriority w:val="99"/>
    <w:semiHidden/>
    <w:rsid w:val="00A96665"/>
    <w:rPr>
      <w:sz w:val="22"/>
      <w:szCs w:val="22"/>
    </w:rPr>
  </w:style>
  <w:style w:type="paragraph" w:customStyle="1" w:styleId="TableParagraph">
    <w:name w:val="Table Paragraph"/>
    <w:basedOn w:val="Normal"/>
    <w:uiPriority w:val="1"/>
    <w:qFormat/>
    <w:rsid w:val="00DF7536"/>
    <w:pPr>
      <w:widowControl w:val="0"/>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BA3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4583">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967876">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42507735">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c2.org/maintaining-your-credenti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aca.org/credentialing/how-to-earn-c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F8AB-9913-458E-A498-C5AE0224E647}">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d55d704a-e129-4533-884d-54f902f3d1b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3.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A86DF-0C5A-4C3B-9371-8DBB7E22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2019-08-19T14:19:00Z</dcterms:created>
  <dcterms:modified xsi:type="dcterms:W3CDTF">2020-06-16T13:26:00Z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